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DA8F" w14:textId="77777777" w:rsidR="00CE2DA0" w:rsidRDefault="00000000" w:rsidP="00251F4E">
      <w:pPr>
        <w:spacing w:before="240" w:line="288" w:lineRule="auto"/>
        <w:jc w:val="center"/>
      </w:pPr>
      <w:bookmarkStart w:id="0" w:name="call_for_papers"/>
      <w:r>
        <w:rPr>
          <w:b/>
          <w:sz w:val="56"/>
        </w:rPr>
        <w:t>Call for Papers</w:t>
      </w:r>
      <w:bookmarkEnd w:id="0"/>
    </w:p>
    <w:p w14:paraId="49DD5382" w14:textId="1335018A" w:rsidR="000A376E" w:rsidRPr="000A376E" w:rsidRDefault="00EC7FE4" w:rsidP="00251F4E">
      <w:pPr>
        <w:spacing w:after="210"/>
        <w:jc w:val="center"/>
        <w:rPr>
          <w:b/>
          <w:sz w:val="32"/>
          <w:szCs w:val="32"/>
          <w:lang w:eastAsia="ko-KR"/>
        </w:rPr>
      </w:pPr>
      <w:r>
        <w:rPr>
          <w:rFonts w:hint="eastAsia"/>
          <w:b/>
          <w:sz w:val="32"/>
          <w:szCs w:val="32"/>
          <w:lang w:eastAsia="ko-KR"/>
        </w:rPr>
        <w:t>T</w:t>
      </w:r>
      <w:r>
        <w:rPr>
          <w:b/>
          <w:sz w:val="32"/>
          <w:szCs w:val="32"/>
          <w:lang w:eastAsia="ko-KR"/>
        </w:rPr>
        <w:t>h</w:t>
      </w:r>
      <w:r>
        <w:rPr>
          <w:rFonts w:hint="eastAsia"/>
          <w:b/>
          <w:sz w:val="32"/>
          <w:szCs w:val="32"/>
          <w:lang w:eastAsia="ko-KR"/>
        </w:rPr>
        <w:t xml:space="preserve">e </w:t>
      </w:r>
      <w:r w:rsidR="00F00406">
        <w:rPr>
          <w:rFonts w:hint="eastAsia"/>
          <w:b/>
          <w:sz w:val="32"/>
          <w:szCs w:val="32"/>
          <w:lang w:eastAsia="ko-KR"/>
        </w:rPr>
        <w:t>5</w:t>
      </w:r>
      <w:r w:rsidR="00F00406">
        <w:rPr>
          <w:rFonts w:hint="eastAsia"/>
          <w:b/>
          <w:sz w:val="32"/>
          <w:szCs w:val="32"/>
          <w:vertAlign w:val="superscript"/>
          <w:lang w:eastAsia="ko-KR"/>
        </w:rPr>
        <w:t>th</w:t>
      </w:r>
      <w:r w:rsidR="00F00406" w:rsidRPr="000A376E">
        <w:rPr>
          <w:rFonts w:hint="eastAsia"/>
          <w:b/>
          <w:sz w:val="32"/>
          <w:szCs w:val="32"/>
          <w:lang w:eastAsia="ko-KR"/>
        </w:rPr>
        <w:t xml:space="preserve"> </w:t>
      </w:r>
      <w:r w:rsidR="000A376E" w:rsidRPr="000A376E">
        <w:rPr>
          <w:rFonts w:hint="eastAsia"/>
          <w:b/>
          <w:sz w:val="32"/>
          <w:szCs w:val="32"/>
          <w:lang w:eastAsia="ko-KR"/>
        </w:rPr>
        <w:t>DHEAC</w:t>
      </w:r>
      <w:r w:rsidR="00F00406">
        <w:rPr>
          <w:rFonts w:hint="eastAsia"/>
          <w:b/>
          <w:sz w:val="32"/>
          <w:szCs w:val="32"/>
          <w:lang w:eastAsia="ko-KR"/>
        </w:rPr>
        <w:t>(2026)</w:t>
      </w:r>
    </w:p>
    <w:p w14:paraId="7635537F" w14:textId="37621C1D" w:rsidR="00CE2DA0" w:rsidRPr="00251F4E" w:rsidRDefault="00000000" w:rsidP="00251F4E">
      <w:pPr>
        <w:spacing w:after="210"/>
        <w:jc w:val="center"/>
        <w:rPr>
          <w:sz w:val="18"/>
          <w:szCs w:val="18"/>
        </w:rPr>
      </w:pPr>
      <w:r w:rsidRPr="00251F4E">
        <w:rPr>
          <w:b/>
          <w:sz w:val="18"/>
          <w:szCs w:val="18"/>
        </w:rPr>
        <w:t>DHEAC: Annual International Conference on Digital Humanities for East Asia Classics</w:t>
      </w:r>
    </w:p>
    <w:p w14:paraId="4A265DB1" w14:textId="77777777" w:rsidR="00251F4E" w:rsidRDefault="00251F4E">
      <w:pPr>
        <w:spacing w:before="240" w:line="271" w:lineRule="auto"/>
        <w:rPr>
          <w:b/>
          <w:sz w:val="42"/>
        </w:rPr>
      </w:pPr>
      <w:bookmarkStart w:id="1" w:name="objectives"/>
    </w:p>
    <w:p w14:paraId="76D125E5" w14:textId="3FD0D91F" w:rsidR="00CE2DA0" w:rsidRPr="000A376E" w:rsidRDefault="00000000">
      <w:pPr>
        <w:spacing w:before="240" w:line="271" w:lineRule="auto"/>
        <w:rPr>
          <w:sz w:val="14"/>
          <w:szCs w:val="14"/>
        </w:rPr>
      </w:pPr>
      <w:r w:rsidRPr="000A376E">
        <w:rPr>
          <w:b/>
          <w:sz w:val="28"/>
          <w:szCs w:val="14"/>
        </w:rPr>
        <w:t>Objectives</w:t>
      </w:r>
      <w:bookmarkEnd w:id="1"/>
    </w:p>
    <w:p w14:paraId="50A7BEA6" w14:textId="3E9EB94B" w:rsidR="00CE2DA0" w:rsidRPr="000A376E" w:rsidRDefault="00000000">
      <w:pPr>
        <w:spacing w:after="210"/>
        <w:rPr>
          <w:rFonts w:ascii="Times New Roman" w:hAnsi="Times New Roman" w:cs="Times New Roman"/>
          <w:sz w:val="20"/>
          <w:szCs w:val="20"/>
        </w:rPr>
      </w:pPr>
      <w:r w:rsidRPr="000A376E">
        <w:rPr>
          <w:rFonts w:ascii="Times New Roman" w:hAnsi="Times New Roman" w:cs="Times New Roman"/>
          <w:sz w:val="20"/>
          <w:szCs w:val="20"/>
        </w:rPr>
        <w:t xml:space="preserve">Ancient classics that have </w:t>
      </w:r>
      <w:r w:rsidR="00251F4E" w:rsidRPr="000A376E">
        <w:rPr>
          <w:rFonts w:ascii="Times New Roman" w:hAnsi="Times New Roman" w:cs="Times New Roman"/>
          <w:sz w:val="20"/>
          <w:szCs w:val="20"/>
        </w:rPr>
        <w:t>passed</w:t>
      </w:r>
      <w:r w:rsidRPr="000A376E">
        <w:rPr>
          <w:rFonts w:ascii="Times New Roman" w:hAnsi="Times New Roman" w:cs="Times New Roman"/>
          <w:sz w:val="20"/>
          <w:szCs w:val="20"/>
        </w:rPr>
        <w:t xml:space="preserve"> down through thousands of years are the most important carriers of human civilization. Throughout a long historical period, the East Asian region, including China, Japan, and Korea, has formed and preserved a vast number of ancient classics based on Chinese character culture. These ancient classics serve as the foundation for academia to recognize, understand, interpret, and research Eastern civilization, and are also the most important medium for cultural exchange between East and West.</w:t>
      </w:r>
    </w:p>
    <w:p w14:paraId="4E49B4E7" w14:textId="77777777" w:rsidR="00CE2DA0" w:rsidRPr="000A376E" w:rsidRDefault="00000000">
      <w:pPr>
        <w:spacing w:after="210"/>
        <w:rPr>
          <w:rFonts w:ascii="Times New Roman" w:hAnsi="Times New Roman" w:cs="Times New Roman"/>
          <w:sz w:val="20"/>
          <w:szCs w:val="20"/>
        </w:rPr>
      </w:pPr>
      <w:r w:rsidRPr="000A376E">
        <w:rPr>
          <w:rFonts w:ascii="Times New Roman" w:hAnsi="Times New Roman" w:cs="Times New Roman"/>
          <w:sz w:val="20"/>
          <w:szCs w:val="20"/>
        </w:rPr>
        <w:t>East Asian classics are also important materials for academic research in Europe and North America, especially in the field of international sinology. Western research on East Asian classics has also had a profound impact on local scholarship in East Asia. With the progress of the times, digital technologies, especially intelligent technologies such as OCR, deep learning, and knowledge graphs, have profoundly changed the modes and methods of organizing, reading, researching, and disseminating ancient classics. At the same time, the online environment has more closely connected classical researchers and enthusiasts around the world, making digital humanities related to classical studies a specific research field.</w:t>
      </w:r>
    </w:p>
    <w:p w14:paraId="7CADF082" w14:textId="77777777" w:rsidR="00CE2DA0" w:rsidRPr="000A376E" w:rsidRDefault="00000000">
      <w:pPr>
        <w:spacing w:after="210"/>
        <w:rPr>
          <w:rFonts w:ascii="Times New Roman" w:hAnsi="Times New Roman" w:cs="Times New Roman"/>
          <w:sz w:val="20"/>
          <w:szCs w:val="20"/>
        </w:rPr>
      </w:pPr>
      <w:r w:rsidRPr="000A376E">
        <w:rPr>
          <w:rFonts w:ascii="Times New Roman" w:hAnsi="Times New Roman" w:cs="Times New Roman"/>
          <w:sz w:val="20"/>
          <w:szCs w:val="20"/>
        </w:rPr>
        <w:t>The conference aims to promote the organization, development, and application of classical resources in a digitized and intelligent information environment, build a platform for communication and cooperation between classical researchers and information technology workers, and strengthen cooperation among classical-related institutions, organizations, and individuals worldwide, providing new perspectives and broader research space for East Asian classical studies.</w:t>
      </w:r>
    </w:p>
    <w:p w14:paraId="1E6B03AD" w14:textId="77777777" w:rsidR="000A376E" w:rsidRDefault="000A376E">
      <w:pPr>
        <w:spacing w:before="240" w:line="271" w:lineRule="auto"/>
        <w:rPr>
          <w:b/>
          <w:sz w:val="28"/>
          <w:szCs w:val="14"/>
        </w:rPr>
      </w:pPr>
      <w:bookmarkStart w:id="2" w:name="bm_1_date"/>
    </w:p>
    <w:p w14:paraId="37F0AF53" w14:textId="51BB6DAA" w:rsidR="00CE2DA0" w:rsidRPr="00251F4E" w:rsidRDefault="00000000">
      <w:pPr>
        <w:spacing w:before="240" w:line="271" w:lineRule="auto"/>
        <w:rPr>
          <w:sz w:val="14"/>
          <w:szCs w:val="14"/>
        </w:rPr>
      </w:pPr>
      <w:r w:rsidRPr="00251F4E">
        <w:rPr>
          <w:b/>
          <w:sz w:val="28"/>
          <w:szCs w:val="14"/>
        </w:rPr>
        <w:t>1. Date</w:t>
      </w:r>
      <w:bookmarkEnd w:id="2"/>
    </w:p>
    <w:p w14:paraId="2782E5FC" w14:textId="6422A38D" w:rsidR="00CE2DA0" w:rsidRDefault="00000000">
      <w:pPr>
        <w:spacing w:after="210"/>
      </w:pPr>
      <w:r>
        <w:rPr>
          <w:b/>
        </w:rPr>
        <w:t>July 2</w:t>
      </w:r>
      <w:r w:rsidR="00124496">
        <w:rPr>
          <w:rFonts w:eastAsia="DengXian" w:hint="eastAsia"/>
          <w:b/>
          <w:lang w:eastAsia="zh-CN"/>
        </w:rPr>
        <w:t>1</w:t>
      </w:r>
      <w:r>
        <w:rPr>
          <w:b/>
        </w:rPr>
        <w:t xml:space="preserve"> (Tuesday) - July 2</w:t>
      </w:r>
      <w:r w:rsidR="00124496">
        <w:rPr>
          <w:rFonts w:eastAsia="DengXian" w:hint="eastAsia"/>
          <w:b/>
          <w:lang w:eastAsia="zh-CN"/>
        </w:rPr>
        <w:t>7</w:t>
      </w:r>
      <w:r>
        <w:rPr>
          <w:b/>
        </w:rPr>
        <w:t xml:space="preserve"> (Monday), 2026</w:t>
      </w:r>
    </w:p>
    <w:tbl>
      <w:tblPr>
        <w:tblStyle w:val="4"/>
        <w:tblW w:w="0" w:type="auto"/>
        <w:tblLook w:val="04A0" w:firstRow="1" w:lastRow="0" w:firstColumn="1" w:lastColumn="0" w:noHBand="0" w:noVBand="1"/>
      </w:tblPr>
      <w:tblGrid>
        <w:gridCol w:w="1369"/>
        <w:gridCol w:w="1188"/>
        <w:gridCol w:w="1188"/>
        <w:gridCol w:w="1188"/>
        <w:gridCol w:w="1583"/>
        <w:gridCol w:w="1358"/>
        <w:gridCol w:w="806"/>
      </w:tblGrid>
      <w:tr w:rsidR="00CE2DA0" w14:paraId="32DC5756" w14:textId="77777777" w:rsidTr="00251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BDBE6D" w14:textId="09806879" w:rsidR="00CE2DA0" w:rsidRDefault="00000000">
            <w:pPr>
              <w:jc w:val="center"/>
            </w:pPr>
            <w:r>
              <w:t>2</w:t>
            </w:r>
            <w:r w:rsidR="00124496">
              <w:rPr>
                <w:rFonts w:eastAsia="DengXian" w:hint="eastAsia"/>
                <w:lang w:eastAsia="zh-CN"/>
              </w:rPr>
              <w:t>1</w:t>
            </w:r>
            <w:r>
              <w:t>nd</w:t>
            </w:r>
          </w:p>
        </w:tc>
        <w:tc>
          <w:tcPr>
            <w:tcW w:w="0" w:type="auto"/>
          </w:tcPr>
          <w:p w14:paraId="013F3930" w14:textId="6490F119" w:rsidR="00CE2DA0" w:rsidRDefault="00000000">
            <w:pPr>
              <w:jc w:val="center"/>
              <w:cnfStyle w:val="100000000000" w:firstRow="1" w:lastRow="0" w:firstColumn="0" w:lastColumn="0" w:oddVBand="0" w:evenVBand="0" w:oddHBand="0" w:evenHBand="0" w:firstRowFirstColumn="0" w:firstRowLastColumn="0" w:lastRowFirstColumn="0" w:lastRowLastColumn="0"/>
            </w:pPr>
            <w:r>
              <w:t>2</w:t>
            </w:r>
            <w:r w:rsidR="00124496">
              <w:rPr>
                <w:rFonts w:eastAsia="DengXian" w:hint="eastAsia"/>
                <w:lang w:eastAsia="zh-CN"/>
              </w:rPr>
              <w:t>2</w:t>
            </w:r>
            <w:r>
              <w:t>rd</w:t>
            </w:r>
          </w:p>
        </w:tc>
        <w:tc>
          <w:tcPr>
            <w:tcW w:w="0" w:type="auto"/>
          </w:tcPr>
          <w:p w14:paraId="718194E4" w14:textId="2E1CD96D" w:rsidR="00CE2DA0" w:rsidRDefault="00000000">
            <w:pPr>
              <w:jc w:val="center"/>
              <w:cnfStyle w:val="100000000000" w:firstRow="1" w:lastRow="0" w:firstColumn="0" w:lastColumn="0" w:oddVBand="0" w:evenVBand="0" w:oddHBand="0" w:evenHBand="0" w:firstRowFirstColumn="0" w:firstRowLastColumn="0" w:lastRowFirstColumn="0" w:lastRowLastColumn="0"/>
            </w:pPr>
            <w:r>
              <w:t>2</w:t>
            </w:r>
            <w:r w:rsidR="00124496">
              <w:rPr>
                <w:rFonts w:eastAsia="DengXian" w:hint="eastAsia"/>
                <w:lang w:eastAsia="zh-CN"/>
              </w:rPr>
              <w:t>3</w:t>
            </w:r>
            <w:r>
              <w:t>th</w:t>
            </w:r>
          </w:p>
        </w:tc>
        <w:tc>
          <w:tcPr>
            <w:tcW w:w="0" w:type="auto"/>
          </w:tcPr>
          <w:p w14:paraId="1339E059" w14:textId="2CE14429" w:rsidR="00CE2DA0" w:rsidRDefault="00000000">
            <w:pPr>
              <w:jc w:val="center"/>
              <w:cnfStyle w:val="100000000000" w:firstRow="1" w:lastRow="0" w:firstColumn="0" w:lastColumn="0" w:oddVBand="0" w:evenVBand="0" w:oddHBand="0" w:evenHBand="0" w:firstRowFirstColumn="0" w:firstRowLastColumn="0" w:lastRowFirstColumn="0" w:lastRowLastColumn="0"/>
            </w:pPr>
            <w:r>
              <w:t>2</w:t>
            </w:r>
            <w:r w:rsidR="00124496">
              <w:rPr>
                <w:rFonts w:eastAsia="DengXian" w:hint="eastAsia"/>
                <w:lang w:eastAsia="zh-CN"/>
              </w:rPr>
              <w:t>4</w:t>
            </w:r>
            <w:r>
              <w:t>th</w:t>
            </w:r>
          </w:p>
        </w:tc>
        <w:tc>
          <w:tcPr>
            <w:tcW w:w="0" w:type="auto"/>
          </w:tcPr>
          <w:p w14:paraId="2E607C8B" w14:textId="08F87D71" w:rsidR="00CE2DA0" w:rsidRDefault="00000000">
            <w:pPr>
              <w:jc w:val="center"/>
              <w:cnfStyle w:val="100000000000" w:firstRow="1" w:lastRow="0" w:firstColumn="0" w:lastColumn="0" w:oddVBand="0" w:evenVBand="0" w:oddHBand="0" w:evenHBand="0" w:firstRowFirstColumn="0" w:firstRowLastColumn="0" w:lastRowFirstColumn="0" w:lastRowLastColumn="0"/>
            </w:pPr>
            <w:r>
              <w:t>2</w:t>
            </w:r>
            <w:r w:rsidR="00124496">
              <w:rPr>
                <w:rFonts w:eastAsia="DengXian" w:hint="eastAsia"/>
                <w:lang w:eastAsia="zh-CN"/>
              </w:rPr>
              <w:t>5</w:t>
            </w:r>
            <w:r>
              <w:t>th</w:t>
            </w:r>
          </w:p>
        </w:tc>
        <w:tc>
          <w:tcPr>
            <w:tcW w:w="0" w:type="auto"/>
          </w:tcPr>
          <w:p w14:paraId="46969B8A" w14:textId="1C4B979E" w:rsidR="00CE2DA0" w:rsidRDefault="00000000">
            <w:pPr>
              <w:jc w:val="center"/>
              <w:cnfStyle w:val="100000000000" w:firstRow="1" w:lastRow="0" w:firstColumn="0" w:lastColumn="0" w:oddVBand="0" w:evenVBand="0" w:oddHBand="0" w:evenHBand="0" w:firstRowFirstColumn="0" w:firstRowLastColumn="0" w:lastRowFirstColumn="0" w:lastRowLastColumn="0"/>
            </w:pPr>
            <w:r>
              <w:t>2</w:t>
            </w:r>
            <w:r w:rsidR="00124496">
              <w:rPr>
                <w:rFonts w:eastAsia="DengXian" w:hint="eastAsia"/>
                <w:lang w:eastAsia="zh-CN"/>
              </w:rPr>
              <w:t>6</w:t>
            </w:r>
            <w:r>
              <w:t>th</w:t>
            </w:r>
          </w:p>
        </w:tc>
        <w:tc>
          <w:tcPr>
            <w:tcW w:w="0" w:type="auto"/>
          </w:tcPr>
          <w:p w14:paraId="1AD9DC12" w14:textId="0BBC1A96" w:rsidR="00CE2DA0" w:rsidRDefault="00000000">
            <w:pPr>
              <w:jc w:val="center"/>
              <w:cnfStyle w:val="100000000000" w:firstRow="1" w:lastRow="0" w:firstColumn="0" w:lastColumn="0" w:oddVBand="0" w:evenVBand="0" w:oddHBand="0" w:evenHBand="0" w:firstRowFirstColumn="0" w:firstRowLastColumn="0" w:lastRowFirstColumn="0" w:lastRowLastColumn="0"/>
            </w:pPr>
            <w:r>
              <w:t>2</w:t>
            </w:r>
            <w:r w:rsidR="00124496">
              <w:rPr>
                <w:rFonts w:eastAsia="DengXian" w:hint="eastAsia"/>
                <w:lang w:eastAsia="zh-CN"/>
              </w:rPr>
              <w:t>7</w:t>
            </w:r>
            <w:r>
              <w:t>th</w:t>
            </w:r>
          </w:p>
        </w:tc>
      </w:tr>
      <w:tr w:rsidR="00CE2DA0" w14:paraId="10F57497" w14:textId="77777777" w:rsidTr="00251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0F4BF1" w14:textId="77777777" w:rsidR="00CE2DA0" w:rsidRDefault="00000000">
            <w:pPr>
              <w:jc w:val="center"/>
            </w:pPr>
            <w:r>
              <w:t>(Tue)</w:t>
            </w:r>
          </w:p>
        </w:tc>
        <w:tc>
          <w:tcPr>
            <w:tcW w:w="0" w:type="auto"/>
          </w:tcPr>
          <w:p w14:paraId="47E14440"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(Wed)</w:t>
            </w:r>
          </w:p>
        </w:tc>
        <w:tc>
          <w:tcPr>
            <w:tcW w:w="0" w:type="auto"/>
          </w:tcPr>
          <w:p w14:paraId="28043414"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(Thu)</w:t>
            </w:r>
          </w:p>
        </w:tc>
        <w:tc>
          <w:tcPr>
            <w:tcW w:w="0" w:type="auto"/>
          </w:tcPr>
          <w:p w14:paraId="444E9B2A"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(Fri)</w:t>
            </w:r>
          </w:p>
        </w:tc>
        <w:tc>
          <w:tcPr>
            <w:tcW w:w="0" w:type="auto"/>
          </w:tcPr>
          <w:p w14:paraId="16A36111"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(Sat)</w:t>
            </w:r>
          </w:p>
        </w:tc>
        <w:tc>
          <w:tcPr>
            <w:tcW w:w="0" w:type="auto"/>
          </w:tcPr>
          <w:p w14:paraId="14CF959B"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(Sun)</w:t>
            </w:r>
          </w:p>
        </w:tc>
        <w:tc>
          <w:tcPr>
            <w:tcW w:w="0" w:type="auto"/>
          </w:tcPr>
          <w:p w14:paraId="7AAB1945"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(Mon)</w:t>
            </w:r>
          </w:p>
        </w:tc>
      </w:tr>
      <w:tr w:rsidR="00CE2DA0" w14:paraId="51221139" w14:textId="77777777" w:rsidTr="00251F4E">
        <w:tc>
          <w:tcPr>
            <w:cnfStyle w:val="001000000000" w:firstRow="0" w:lastRow="0" w:firstColumn="1" w:lastColumn="0" w:oddVBand="0" w:evenVBand="0" w:oddHBand="0" w:evenHBand="0" w:firstRowFirstColumn="0" w:firstRowLastColumn="0" w:lastRowFirstColumn="0" w:lastRowLastColumn="0"/>
            <w:tcW w:w="0" w:type="auto"/>
          </w:tcPr>
          <w:p w14:paraId="33867689" w14:textId="77777777" w:rsidR="00CE2DA0" w:rsidRPr="00251F4E" w:rsidRDefault="00000000">
            <w:pPr>
              <w:jc w:val="center"/>
              <w:rPr>
                <w:sz w:val="18"/>
                <w:szCs w:val="18"/>
              </w:rPr>
            </w:pPr>
            <w:r w:rsidRPr="00251F4E">
              <w:rPr>
                <w:sz w:val="18"/>
                <w:szCs w:val="18"/>
              </w:rPr>
              <w:t>Registration</w:t>
            </w:r>
          </w:p>
        </w:tc>
        <w:tc>
          <w:tcPr>
            <w:tcW w:w="0" w:type="auto"/>
          </w:tcPr>
          <w:p w14:paraId="487E29A8" w14:textId="77777777" w:rsidR="00CE2DA0" w:rsidRPr="00251F4E" w:rsidRDefault="0000000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51F4E">
              <w:rPr>
                <w:b/>
                <w:bCs/>
                <w:sz w:val="18"/>
                <w:szCs w:val="18"/>
              </w:rPr>
              <w:t>Workshop</w:t>
            </w:r>
          </w:p>
        </w:tc>
        <w:tc>
          <w:tcPr>
            <w:tcW w:w="0" w:type="auto"/>
          </w:tcPr>
          <w:p w14:paraId="2B10DB3D" w14:textId="77777777" w:rsidR="00CE2DA0" w:rsidRPr="00251F4E" w:rsidRDefault="0000000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51F4E">
              <w:rPr>
                <w:b/>
                <w:bCs/>
                <w:sz w:val="18"/>
                <w:szCs w:val="18"/>
              </w:rPr>
              <w:t>Workshop</w:t>
            </w:r>
          </w:p>
        </w:tc>
        <w:tc>
          <w:tcPr>
            <w:tcW w:w="0" w:type="auto"/>
          </w:tcPr>
          <w:p w14:paraId="40B77865" w14:textId="77777777" w:rsidR="00CE2DA0" w:rsidRPr="00251F4E" w:rsidRDefault="0000000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51F4E">
              <w:rPr>
                <w:b/>
                <w:bCs/>
                <w:sz w:val="18"/>
                <w:szCs w:val="18"/>
              </w:rPr>
              <w:t>Workshop</w:t>
            </w:r>
          </w:p>
        </w:tc>
        <w:tc>
          <w:tcPr>
            <w:tcW w:w="0" w:type="auto"/>
          </w:tcPr>
          <w:p w14:paraId="59928E3C" w14:textId="77777777" w:rsidR="00CE2DA0" w:rsidRPr="00251F4E" w:rsidRDefault="0000000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51F4E">
              <w:rPr>
                <w:b/>
                <w:bCs/>
                <w:sz w:val="18"/>
                <w:szCs w:val="18"/>
              </w:rPr>
              <w:t>Conference</w:t>
            </w:r>
          </w:p>
        </w:tc>
        <w:tc>
          <w:tcPr>
            <w:tcW w:w="0" w:type="auto"/>
          </w:tcPr>
          <w:p w14:paraId="666781F0" w14:textId="77777777" w:rsidR="00CE2DA0" w:rsidRPr="00251F4E" w:rsidRDefault="0000000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51F4E">
              <w:rPr>
                <w:b/>
                <w:bCs/>
                <w:sz w:val="18"/>
                <w:szCs w:val="18"/>
              </w:rPr>
              <w:t>Conference</w:t>
            </w:r>
          </w:p>
        </w:tc>
        <w:tc>
          <w:tcPr>
            <w:tcW w:w="0" w:type="auto"/>
          </w:tcPr>
          <w:p w14:paraId="2BF0D4D7" w14:textId="5CD9BF58" w:rsidR="00CE2DA0" w:rsidRPr="00251F4E" w:rsidRDefault="00251F4E">
            <w:pPr>
              <w:jc w:val="center"/>
              <w:cnfStyle w:val="000000000000" w:firstRow="0" w:lastRow="0" w:firstColumn="0" w:lastColumn="0" w:oddVBand="0" w:evenVBand="0" w:oddHBand="0" w:evenHBand="0" w:firstRowFirstColumn="0" w:firstRowLastColumn="0" w:lastRowFirstColumn="0" w:lastRowLastColumn="0"/>
              <w:rPr>
                <w:b/>
                <w:bCs/>
                <w:sz w:val="18"/>
                <w:szCs w:val="18"/>
                <w:lang w:eastAsia="ko-KR"/>
              </w:rPr>
            </w:pPr>
            <w:r w:rsidRPr="00251F4E">
              <w:rPr>
                <w:rFonts w:hint="eastAsia"/>
                <w:b/>
                <w:bCs/>
                <w:sz w:val="18"/>
                <w:szCs w:val="18"/>
                <w:lang w:eastAsia="ko-KR"/>
              </w:rPr>
              <w:t>Leave</w:t>
            </w:r>
          </w:p>
        </w:tc>
      </w:tr>
      <w:tr w:rsidR="00CE2DA0" w14:paraId="2744345C" w14:textId="77777777" w:rsidTr="00251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FB9EBC" w14:textId="77777777" w:rsidR="00CE2DA0" w:rsidRDefault="00CE2DA0"/>
        </w:tc>
        <w:tc>
          <w:tcPr>
            <w:tcW w:w="0" w:type="auto"/>
          </w:tcPr>
          <w:p w14:paraId="2A0562C6" w14:textId="77777777" w:rsidR="00CE2DA0" w:rsidRDefault="00CE2DA0">
            <w:pPr>
              <w:cnfStyle w:val="000000100000" w:firstRow="0" w:lastRow="0" w:firstColumn="0" w:lastColumn="0" w:oddVBand="0" w:evenVBand="0" w:oddHBand="1" w:evenHBand="0" w:firstRowFirstColumn="0" w:firstRowLastColumn="0" w:lastRowFirstColumn="0" w:lastRowLastColumn="0"/>
            </w:pPr>
          </w:p>
        </w:tc>
        <w:tc>
          <w:tcPr>
            <w:tcW w:w="0" w:type="auto"/>
          </w:tcPr>
          <w:p w14:paraId="2BAAFC8E" w14:textId="77777777" w:rsidR="00CE2DA0" w:rsidRDefault="00CE2DA0">
            <w:pPr>
              <w:cnfStyle w:val="000000100000" w:firstRow="0" w:lastRow="0" w:firstColumn="0" w:lastColumn="0" w:oddVBand="0" w:evenVBand="0" w:oddHBand="1" w:evenHBand="0" w:firstRowFirstColumn="0" w:firstRowLastColumn="0" w:lastRowFirstColumn="0" w:lastRowLastColumn="0"/>
            </w:pPr>
          </w:p>
        </w:tc>
        <w:tc>
          <w:tcPr>
            <w:tcW w:w="0" w:type="auto"/>
          </w:tcPr>
          <w:p w14:paraId="59A79705" w14:textId="77777777" w:rsidR="00CE2DA0" w:rsidRDefault="00CE2DA0">
            <w:pPr>
              <w:cnfStyle w:val="000000100000" w:firstRow="0" w:lastRow="0" w:firstColumn="0" w:lastColumn="0" w:oddVBand="0" w:evenVBand="0" w:oddHBand="1" w:evenHBand="0" w:firstRowFirstColumn="0" w:firstRowLastColumn="0" w:lastRowFirstColumn="0" w:lastRowLastColumn="0"/>
            </w:pPr>
          </w:p>
        </w:tc>
        <w:tc>
          <w:tcPr>
            <w:tcW w:w="0" w:type="auto"/>
          </w:tcPr>
          <w:p w14:paraId="0D5986F1"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Opening, Keynote, Panels</w:t>
            </w:r>
          </w:p>
        </w:tc>
        <w:tc>
          <w:tcPr>
            <w:tcW w:w="0" w:type="auto"/>
          </w:tcPr>
          <w:p w14:paraId="3E9A8326" w14:textId="77777777" w:rsidR="00CE2DA0" w:rsidRDefault="00000000">
            <w:pPr>
              <w:jc w:val="center"/>
              <w:cnfStyle w:val="000000100000" w:firstRow="0" w:lastRow="0" w:firstColumn="0" w:lastColumn="0" w:oddVBand="0" w:evenVBand="0" w:oddHBand="1" w:evenHBand="0" w:firstRowFirstColumn="0" w:firstRowLastColumn="0" w:lastRowFirstColumn="0" w:lastRowLastColumn="0"/>
            </w:pPr>
            <w:r>
              <w:t>Panels, Closing</w:t>
            </w:r>
          </w:p>
        </w:tc>
        <w:tc>
          <w:tcPr>
            <w:tcW w:w="0" w:type="auto"/>
          </w:tcPr>
          <w:p w14:paraId="48A61A1A" w14:textId="77777777" w:rsidR="00CE2DA0" w:rsidRDefault="00CE2DA0">
            <w:pPr>
              <w:cnfStyle w:val="000000100000" w:firstRow="0" w:lastRow="0" w:firstColumn="0" w:lastColumn="0" w:oddVBand="0" w:evenVBand="0" w:oddHBand="1" w:evenHBand="0" w:firstRowFirstColumn="0" w:firstRowLastColumn="0" w:lastRowFirstColumn="0" w:lastRowLastColumn="0"/>
            </w:pPr>
          </w:p>
        </w:tc>
      </w:tr>
    </w:tbl>
    <w:p w14:paraId="7E9969E3" w14:textId="77777777" w:rsidR="00CE2DA0" w:rsidRDefault="00CE2DA0"/>
    <w:p w14:paraId="5E8019B5" w14:textId="77777777" w:rsidR="00CE2DA0" w:rsidRDefault="00000000">
      <w:pPr>
        <w:spacing w:after="210"/>
      </w:pPr>
      <w:r>
        <w:t xml:space="preserve">* The schedule is </w:t>
      </w:r>
      <w:r w:rsidRPr="00251F4E">
        <w:rPr>
          <w:color w:val="EE0000"/>
          <w:u w:val="single"/>
        </w:rPr>
        <w:t>tentative</w:t>
      </w:r>
      <w:r>
        <w:t>.</w:t>
      </w:r>
    </w:p>
    <w:p w14:paraId="7367127D" w14:textId="1B99DEB8" w:rsidR="00CE2DA0" w:rsidRDefault="00000000">
      <w:pPr>
        <w:spacing w:after="210"/>
        <w:rPr>
          <w:lang w:eastAsia="ko-KR"/>
        </w:rPr>
      </w:pPr>
      <w:r>
        <w:t xml:space="preserve">* </w:t>
      </w:r>
      <w:r w:rsidRPr="00251F4E">
        <w:rPr>
          <w:color w:val="EE0000"/>
          <w:u w:val="single"/>
        </w:rPr>
        <w:t>Workshops are optional</w:t>
      </w:r>
      <w:r>
        <w:t xml:space="preserve"> (separate registration fee required). Registration during online registration period (April 20 - April 30, 2026)</w:t>
      </w:r>
      <w:r w:rsidR="00251F4E">
        <w:rPr>
          <w:rFonts w:hint="eastAsia"/>
          <w:lang w:eastAsia="ko-KR"/>
        </w:rPr>
        <w:t xml:space="preserve">, </w:t>
      </w:r>
      <w:r w:rsidR="00251F4E">
        <w:t>Participants may choose one of the following three workshops.</w:t>
      </w:r>
    </w:p>
    <w:p w14:paraId="543D282A" w14:textId="77777777" w:rsidR="00CE2DA0" w:rsidRDefault="00000000">
      <w:pPr>
        <w:spacing w:after="210"/>
      </w:pPr>
      <w:r>
        <w:lastRenderedPageBreak/>
        <w:t>* Workshops with fewer than 10 participants will be canceled.</w:t>
      </w:r>
    </w:p>
    <w:p w14:paraId="493ABCAF" w14:textId="77777777" w:rsidR="00CE2DA0" w:rsidRDefault="00000000" w:rsidP="00251F4E">
      <w:pPr>
        <w:pStyle w:val="a3"/>
        <w:numPr>
          <w:ilvl w:val="0"/>
          <w:numId w:val="4"/>
        </w:numPr>
        <w:spacing w:after="210"/>
        <w:ind w:leftChars="0"/>
      </w:pPr>
      <w:r>
        <w:t>Workshop (1): Wuyudian Workshop (Organized by Center for Digital Humanities, Peking University)</w:t>
      </w:r>
    </w:p>
    <w:p w14:paraId="6D654EDA" w14:textId="77777777" w:rsidR="00CE2DA0" w:rsidRDefault="00000000" w:rsidP="00251F4E">
      <w:pPr>
        <w:pStyle w:val="a3"/>
        <w:numPr>
          <w:ilvl w:val="0"/>
          <w:numId w:val="4"/>
        </w:numPr>
        <w:spacing w:after="210"/>
        <w:ind w:leftChars="0"/>
      </w:pPr>
      <w:r>
        <w:t>Workshop (2): DocuSky Workshop (Organized by Center for Digital Humanities, National Taiwan University, and Taiwanese Association for Digital Humanities)</w:t>
      </w:r>
    </w:p>
    <w:p w14:paraId="628EF3C2" w14:textId="77777777" w:rsidR="00CE2DA0" w:rsidRDefault="00000000" w:rsidP="00251F4E">
      <w:pPr>
        <w:pStyle w:val="a3"/>
        <w:numPr>
          <w:ilvl w:val="0"/>
          <w:numId w:val="4"/>
        </w:numPr>
        <w:spacing w:after="210"/>
        <w:ind w:leftChars="0"/>
      </w:pPr>
      <w:r>
        <w:t>Workshop (3): Classical Text Organization and Intelligent Practice (Organized by Guji Gulian Company, Zhonghua Book Company)</w:t>
      </w:r>
    </w:p>
    <w:p w14:paraId="5853AC53" w14:textId="77777777" w:rsidR="000A376E" w:rsidRDefault="000A376E">
      <w:pPr>
        <w:spacing w:before="240" w:line="271" w:lineRule="auto"/>
        <w:rPr>
          <w:b/>
          <w:sz w:val="28"/>
          <w:szCs w:val="14"/>
        </w:rPr>
      </w:pPr>
      <w:bookmarkStart w:id="3" w:name="bm_2_venue"/>
    </w:p>
    <w:p w14:paraId="212A4F57" w14:textId="0A78D36D" w:rsidR="00CE2DA0" w:rsidRPr="00251F4E" w:rsidRDefault="00000000">
      <w:pPr>
        <w:spacing w:before="240" w:line="271" w:lineRule="auto"/>
        <w:rPr>
          <w:b/>
          <w:sz w:val="28"/>
          <w:szCs w:val="14"/>
        </w:rPr>
      </w:pPr>
      <w:r w:rsidRPr="00251F4E">
        <w:rPr>
          <w:b/>
          <w:sz w:val="28"/>
          <w:szCs w:val="14"/>
        </w:rPr>
        <w:t>2. Venue</w:t>
      </w:r>
      <w:bookmarkEnd w:id="3"/>
    </w:p>
    <w:p w14:paraId="6F328BBA" w14:textId="77777777" w:rsidR="00CE2DA0" w:rsidRDefault="00000000">
      <w:pPr>
        <w:spacing w:after="210"/>
      </w:pPr>
      <w:r>
        <w:rPr>
          <w:b/>
        </w:rPr>
        <w:t>Sungkyunkwan University, Seoul, Korea</w:t>
      </w:r>
    </w:p>
    <w:p w14:paraId="418A2EB6" w14:textId="77777777" w:rsidR="000A376E" w:rsidRPr="000A376E" w:rsidRDefault="000A376E">
      <w:pPr>
        <w:spacing w:after="210"/>
        <w:rPr>
          <w:color w:val="4472C4"/>
          <w:lang w:val="de-DE" w:eastAsia="ko-KR"/>
        </w:rPr>
      </w:pPr>
      <w:r>
        <w:rPr>
          <w:color w:val="4472C4"/>
          <w:lang w:val="de-DE"/>
        </w:rPr>
        <w:fldChar w:fldCharType="begin"/>
      </w:r>
      <w:r>
        <w:rPr>
          <w:color w:val="4472C4"/>
          <w:lang w:val="de-DE"/>
        </w:rPr>
        <w:instrText>HYPERLINK "</w:instrText>
      </w:r>
      <w:r w:rsidRPr="000A376E">
        <w:rPr>
          <w:color w:val="4472C4"/>
          <w:lang w:val="de-DE"/>
        </w:rPr>
        <w:instrText>https://j.map.baidu.com/b0/DfV</w:instrText>
      </w:r>
    </w:p>
    <w:p w14:paraId="6D2EC612" w14:textId="77777777" w:rsidR="000A376E" w:rsidRPr="00F60D40" w:rsidRDefault="000A376E">
      <w:pPr>
        <w:spacing w:after="210"/>
        <w:rPr>
          <w:rStyle w:val="a4"/>
          <w:lang w:val="de-DE" w:eastAsia="ko-KR"/>
        </w:rPr>
      </w:pPr>
      <w:r>
        <w:rPr>
          <w:color w:val="4472C4"/>
          <w:lang w:val="de-DE"/>
        </w:rPr>
        <w:instrText>"</w:instrText>
      </w:r>
      <w:r>
        <w:rPr>
          <w:color w:val="4472C4"/>
          <w:lang w:val="de-DE"/>
        </w:rPr>
      </w:r>
      <w:r>
        <w:rPr>
          <w:color w:val="4472C4"/>
          <w:lang w:val="de-DE"/>
        </w:rPr>
        <w:fldChar w:fldCharType="separate"/>
      </w:r>
      <w:r w:rsidRPr="00F60D40">
        <w:rPr>
          <w:rStyle w:val="a4"/>
          <w:lang w:val="de-DE"/>
        </w:rPr>
        <w:t>https://j.map.baidu.com/b0/DfV</w:t>
      </w:r>
    </w:p>
    <w:p w14:paraId="5D57B017" w14:textId="36718518" w:rsidR="00CE2DA0" w:rsidRPr="000A376E" w:rsidRDefault="000A376E">
      <w:pPr>
        <w:spacing w:after="210"/>
        <w:rPr>
          <w:rStyle w:val="a4"/>
          <w:lang w:val="de-DE"/>
        </w:rPr>
      </w:pPr>
      <w:r>
        <w:rPr>
          <w:color w:val="4472C4"/>
          <w:lang w:val="de-DE"/>
        </w:rPr>
        <w:fldChar w:fldCharType="end"/>
      </w:r>
      <w:r>
        <w:rPr>
          <w:color w:val="4472C4"/>
        </w:rPr>
        <w:fldChar w:fldCharType="begin"/>
      </w:r>
      <w:r w:rsidRPr="000A376E">
        <w:rPr>
          <w:color w:val="4472C4"/>
          <w:lang w:val="de-DE"/>
        </w:rPr>
        <w:instrText>HYPERLINK "https://maps.app.goo.gl/mkM8fuEwV2hi7juP6"</w:instrText>
      </w:r>
      <w:r>
        <w:rPr>
          <w:color w:val="4472C4"/>
        </w:rPr>
      </w:r>
      <w:r>
        <w:rPr>
          <w:color w:val="4472C4"/>
        </w:rPr>
        <w:fldChar w:fldCharType="separate"/>
      </w:r>
      <w:r w:rsidRPr="000A376E">
        <w:rPr>
          <w:rStyle w:val="a4"/>
          <w:lang w:val="de-DE"/>
        </w:rPr>
        <w:t>https://maps.app.goo.gl/mkM8fuEwV2hi7juP6</w:t>
      </w:r>
    </w:p>
    <w:bookmarkStart w:id="4" w:name="bm_3_organizer"/>
    <w:p w14:paraId="75CB2456" w14:textId="3F6D88B9" w:rsidR="00251F4E" w:rsidRPr="000A376E" w:rsidRDefault="000A376E">
      <w:pPr>
        <w:spacing w:before="240" w:line="271" w:lineRule="auto"/>
        <w:rPr>
          <w:b/>
          <w:sz w:val="28"/>
          <w:szCs w:val="14"/>
          <w:lang w:val="de-DE"/>
        </w:rPr>
      </w:pPr>
      <w:r>
        <w:rPr>
          <w:color w:val="4472C4"/>
        </w:rPr>
        <w:fldChar w:fldCharType="end"/>
      </w:r>
    </w:p>
    <w:p w14:paraId="080B4EB5" w14:textId="4890CB11" w:rsidR="00CE2DA0" w:rsidRPr="00251F4E" w:rsidRDefault="00000000">
      <w:pPr>
        <w:spacing w:before="240" w:line="271" w:lineRule="auto"/>
        <w:rPr>
          <w:sz w:val="14"/>
          <w:szCs w:val="14"/>
        </w:rPr>
      </w:pPr>
      <w:r w:rsidRPr="00251F4E">
        <w:rPr>
          <w:b/>
          <w:sz w:val="28"/>
          <w:szCs w:val="14"/>
        </w:rPr>
        <w:t>3. Organizer</w:t>
      </w:r>
      <w:bookmarkEnd w:id="4"/>
    </w:p>
    <w:p w14:paraId="5A5F3981" w14:textId="77777777" w:rsidR="00251F4E" w:rsidRDefault="00000000">
      <w:pPr>
        <w:spacing w:after="210"/>
      </w:pPr>
      <w:r>
        <w:t xml:space="preserve">* </w:t>
      </w:r>
      <w:r>
        <w:rPr>
          <w:b/>
        </w:rPr>
        <w:t>Host</w:t>
      </w:r>
      <w:r>
        <w:t xml:space="preserve">: </w:t>
      </w:r>
    </w:p>
    <w:p w14:paraId="34D7275C" w14:textId="1734A9B5" w:rsidR="00CE2DA0" w:rsidRDefault="00000000" w:rsidP="000D55E8">
      <w:pPr>
        <w:spacing w:after="210"/>
        <w:ind w:firstLineChars="150" w:firstLine="315"/>
      </w:pPr>
      <w:r>
        <w:t>Institute of Chinese Culture, SungKyunKwan University</w:t>
      </w:r>
    </w:p>
    <w:p w14:paraId="61715E49" w14:textId="77777777" w:rsidR="000A376E" w:rsidRDefault="000A376E" w:rsidP="00251F4E">
      <w:pPr>
        <w:spacing w:after="210"/>
        <w:ind w:firstLineChars="50" w:firstLine="105"/>
      </w:pPr>
    </w:p>
    <w:p w14:paraId="3D0DB157" w14:textId="576D4D20" w:rsidR="00CE2DA0" w:rsidRDefault="00000000">
      <w:pPr>
        <w:spacing w:after="210"/>
      </w:pPr>
      <w:r>
        <w:t xml:space="preserve">* </w:t>
      </w:r>
      <w:r>
        <w:rPr>
          <w:b/>
        </w:rPr>
        <w:t>Co-</w:t>
      </w:r>
      <w:r w:rsidR="00251F4E">
        <w:rPr>
          <w:rFonts w:hint="eastAsia"/>
          <w:b/>
          <w:lang w:eastAsia="ko-KR"/>
        </w:rPr>
        <w:t>host by</w:t>
      </w:r>
      <w:r>
        <w:t>:</w:t>
      </w:r>
    </w:p>
    <w:p w14:paraId="515923EE" w14:textId="77777777" w:rsidR="00CE2DA0" w:rsidRDefault="00000000" w:rsidP="000D55E8">
      <w:pPr>
        <w:spacing w:after="210"/>
        <w:ind w:firstLineChars="150" w:firstLine="315"/>
      </w:pPr>
      <w:r>
        <w:t>Institute of Chinese Culture, SungKyunKwan University</w:t>
      </w:r>
    </w:p>
    <w:p w14:paraId="63C44CAE" w14:textId="77777777" w:rsidR="00CE2DA0" w:rsidRDefault="00000000" w:rsidP="000D55E8">
      <w:pPr>
        <w:spacing w:after="210"/>
        <w:ind w:firstLineChars="150" w:firstLine="315"/>
      </w:pPr>
      <w:r>
        <w:t>Department of Chinese Language and Literature, SungKyunKwan University</w:t>
      </w:r>
    </w:p>
    <w:p w14:paraId="7CBEACA3" w14:textId="77777777" w:rsidR="00CE2DA0" w:rsidRDefault="00000000" w:rsidP="000D55E8">
      <w:pPr>
        <w:spacing w:after="210"/>
        <w:ind w:firstLineChars="150" w:firstLine="315"/>
      </w:pPr>
      <w:r>
        <w:t>Institute for East Asia Knowledge, Culture, Education Studies</w:t>
      </w:r>
    </w:p>
    <w:p w14:paraId="39F1EBF7" w14:textId="77777777" w:rsidR="00CE2DA0" w:rsidRDefault="00000000" w:rsidP="000D55E8">
      <w:pPr>
        <w:spacing w:after="210"/>
        <w:ind w:firstLineChars="150" w:firstLine="315"/>
      </w:pPr>
      <w:r>
        <w:t>Hallym Academy of Sciences, Hallym University</w:t>
      </w:r>
    </w:p>
    <w:p w14:paraId="04CD4A58" w14:textId="77777777" w:rsidR="00251F4E" w:rsidRDefault="00251F4E">
      <w:pPr>
        <w:spacing w:after="210"/>
      </w:pPr>
    </w:p>
    <w:p w14:paraId="10F63B39" w14:textId="122DDEE9" w:rsidR="00CE2DA0" w:rsidRDefault="00000000">
      <w:pPr>
        <w:spacing w:after="210"/>
      </w:pPr>
      <w:r>
        <w:t xml:space="preserve">* </w:t>
      </w:r>
      <w:r>
        <w:rPr>
          <w:b/>
        </w:rPr>
        <w:t>Supporting Organizations</w:t>
      </w:r>
      <w:r>
        <w:t>:</w:t>
      </w:r>
    </w:p>
    <w:p w14:paraId="509A7123" w14:textId="28B07A63" w:rsidR="009D2028" w:rsidRDefault="009D2028" w:rsidP="000D55E8">
      <w:pPr>
        <w:spacing w:after="210"/>
        <w:ind w:firstLineChars="150" w:firstLine="315"/>
      </w:pPr>
      <w:r>
        <w:t>Center for</w:t>
      </w:r>
      <w:r>
        <w:rPr>
          <w:rFonts w:hint="eastAsia"/>
          <w:lang w:eastAsia="ko-KR"/>
        </w:rPr>
        <w:t xml:space="preserve"> Ancient Chinese Classics &amp; Archives</w:t>
      </w:r>
      <w:r>
        <w:t xml:space="preserve"> </w:t>
      </w:r>
      <w:r>
        <w:rPr>
          <w:rFonts w:hint="eastAsia"/>
          <w:lang w:eastAsia="ko-KR"/>
        </w:rPr>
        <w:t>of Peking University</w:t>
      </w:r>
    </w:p>
    <w:p w14:paraId="6A09568F" w14:textId="798DD111" w:rsidR="000D55E8" w:rsidRDefault="000D55E8" w:rsidP="000D55E8">
      <w:pPr>
        <w:spacing w:after="210"/>
        <w:ind w:firstLineChars="150" w:firstLine="315"/>
      </w:pPr>
      <w:r>
        <w:t>Centre for Chinese Culture Heritage, Hong Kong Baptist University</w:t>
      </w:r>
    </w:p>
    <w:p w14:paraId="548EFFED" w14:textId="0CFCF8A0" w:rsidR="004211CF" w:rsidRDefault="004211CF" w:rsidP="004211CF">
      <w:pPr>
        <w:spacing w:after="210"/>
        <w:ind w:firstLineChars="150" w:firstLine="315"/>
      </w:pPr>
      <w:r w:rsidRPr="004211CF">
        <w:t>Center for Chinese and Greek Civilizations,</w:t>
      </w:r>
      <w:r>
        <w:rPr>
          <w:rFonts w:hint="eastAsia"/>
          <w:lang w:eastAsia="ko-KR"/>
        </w:rPr>
        <w:t xml:space="preserve"> </w:t>
      </w:r>
      <w:r w:rsidRPr="004211CF">
        <w:t>Southwest University</w:t>
      </w:r>
    </w:p>
    <w:p w14:paraId="456D579B" w14:textId="439EAD77" w:rsidR="004211CF" w:rsidRDefault="004211CF" w:rsidP="000D55E8">
      <w:pPr>
        <w:spacing w:after="210"/>
        <w:ind w:firstLineChars="150" w:firstLine="315"/>
      </w:pPr>
      <w:r w:rsidRPr="004211CF">
        <w:t>Center for Digital Humanities,</w:t>
      </w:r>
      <w:r>
        <w:rPr>
          <w:rFonts w:hint="eastAsia"/>
          <w:lang w:eastAsia="ko-KR"/>
        </w:rPr>
        <w:t xml:space="preserve"> </w:t>
      </w:r>
      <w:r w:rsidRPr="004211CF">
        <w:t>Shanghai Normal University.</w:t>
      </w:r>
    </w:p>
    <w:p w14:paraId="034A9574" w14:textId="0CC86C02" w:rsidR="000D55E8" w:rsidRDefault="000D55E8" w:rsidP="000D55E8">
      <w:pPr>
        <w:spacing w:after="210"/>
        <w:ind w:firstLineChars="150" w:firstLine="315"/>
        <w:rPr>
          <w:lang w:eastAsia="ko-KR"/>
        </w:rPr>
      </w:pPr>
      <w:r>
        <w:rPr>
          <w:rFonts w:hint="eastAsia"/>
          <w:lang w:eastAsia="ko-KR"/>
        </w:rPr>
        <w:t xml:space="preserve">College of Regional and </w:t>
      </w:r>
      <w:r>
        <w:rPr>
          <w:lang w:eastAsia="ko-KR"/>
        </w:rPr>
        <w:t>International Studies</w:t>
      </w:r>
      <w:r>
        <w:rPr>
          <w:rFonts w:hint="eastAsia"/>
          <w:lang w:eastAsia="ko-KR"/>
        </w:rPr>
        <w:t xml:space="preserve"> of Ludong University</w:t>
      </w:r>
    </w:p>
    <w:p w14:paraId="5F544407" w14:textId="77777777" w:rsidR="000D55E8" w:rsidRDefault="000D55E8" w:rsidP="000D55E8">
      <w:pPr>
        <w:spacing w:after="210"/>
        <w:ind w:firstLineChars="150" w:firstLine="315"/>
      </w:pPr>
      <w:r>
        <w:lastRenderedPageBreak/>
        <w:t>Department of Chinese and History, City University of Hong Kong</w:t>
      </w:r>
    </w:p>
    <w:p w14:paraId="3EC2A5EC" w14:textId="77777777" w:rsidR="000D55E8" w:rsidRDefault="000D55E8" w:rsidP="000D55E8">
      <w:pPr>
        <w:spacing w:after="210"/>
        <w:ind w:firstLineChars="150" w:firstLine="315"/>
      </w:pPr>
      <w:r>
        <w:t>Dharma Drum Institute of Liberal Arts, Taiwan</w:t>
      </w:r>
    </w:p>
    <w:p w14:paraId="4C64365C" w14:textId="77777777" w:rsidR="000D55E8" w:rsidRDefault="000D55E8" w:rsidP="000D55E8">
      <w:pPr>
        <w:spacing w:after="210"/>
        <w:ind w:firstLineChars="150" w:firstLine="315"/>
      </w:pPr>
      <w:r>
        <w:t>Digital Humanities Research Center, School of Humanities, Zhejiang University</w:t>
      </w:r>
    </w:p>
    <w:p w14:paraId="3B864947" w14:textId="77777777" w:rsidR="000D55E8" w:rsidRDefault="000D55E8" w:rsidP="000D55E8">
      <w:pPr>
        <w:spacing w:after="210"/>
        <w:ind w:firstLineChars="150" w:firstLine="315"/>
        <w:rPr>
          <w:rFonts w:eastAsia="DengXian"/>
          <w:lang w:eastAsia="zh-CN"/>
        </w:rPr>
      </w:pPr>
      <w:r>
        <w:t>Institute for Sinographic Literature and Philology, Korea University</w:t>
      </w:r>
    </w:p>
    <w:p w14:paraId="64B38F72" w14:textId="401AC37B" w:rsidR="004211CF" w:rsidRDefault="004211CF" w:rsidP="000D55E8">
      <w:pPr>
        <w:spacing w:after="210"/>
        <w:ind w:firstLineChars="150" w:firstLine="315"/>
        <w:rPr>
          <w:lang w:eastAsia="ko-KR"/>
        </w:rPr>
      </w:pPr>
      <w:r>
        <w:rPr>
          <w:rFonts w:hint="eastAsia"/>
          <w:lang w:eastAsia="ko-KR"/>
        </w:rPr>
        <w:t>Jingdezhen University</w:t>
      </w:r>
    </w:p>
    <w:p w14:paraId="29B60B2D" w14:textId="77777777" w:rsidR="000D55E8" w:rsidRDefault="000D55E8" w:rsidP="000D55E8">
      <w:pPr>
        <w:spacing w:after="210"/>
        <w:ind w:firstLineChars="150" w:firstLine="315"/>
      </w:pPr>
      <w:r>
        <w:t>Northeast Digital Humanities Research Center, Liaoning University</w:t>
      </w:r>
    </w:p>
    <w:p w14:paraId="47D783C8" w14:textId="5674A017" w:rsidR="000D55E8" w:rsidRDefault="000D55E8" w:rsidP="000D55E8">
      <w:pPr>
        <w:spacing w:after="210"/>
        <w:ind w:firstLineChars="150" w:firstLine="315"/>
        <w:rPr>
          <w:lang w:eastAsia="ko-KR"/>
        </w:rPr>
      </w:pPr>
      <w:r>
        <w:t>Research Center for</w:t>
      </w:r>
      <w:r>
        <w:rPr>
          <w:rFonts w:hint="eastAsia"/>
          <w:lang w:eastAsia="ko-KR"/>
        </w:rPr>
        <w:t xml:space="preserve"> Digital </w:t>
      </w:r>
      <w:r>
        <w:t xml:space="preserve">Humanities </w:t>
      </w:r>
      <w:r>
        <w:rPr>
          <w:rFonts w:hint="eastAsia"/>
          <w:lang w:eastAsia="ko-KR"/>
        </w:rPr>
        <w:t>of P</w:t>
      </w:r>
      <w:r w:rsidR="009D2028">
        <w:rPr>
          <w:rFonts w:hint="eastAsia"/>
          <w:lang w:eastAsia="ko-KR"/>
        </w:rPr>
        <w:t>eking University</w:t>
      </w:r>
    </w:p>
    <w:p w14:paraId="31E75F9B" w14:textId="77777777" w:rsidR="000D55E8" w:rsidRDefault="000D55E8" w:rsidP="000D55E8">
      <w:pPr>
        <w:spacing w:after="210"/>
        <w:ind w:firstLineChars="150" w:firstLine="315"/>
      </w:pPr>
      <w:r>
        <w:t>Research Center for Humanities and Social Computing, Nanjing Agricultural University</w:t>
      </w:r>
    </w:p>
    <w:p w14:paraId="144B8FE2" w14:textId="77777777" w:rsidR="000D55E8" w:rsidRDefault="000D55E8" w:rsidP="000D55E8">
      <w:pPr>
        <w:spacing w:after="210"/>
        <w:ind w:firstLineChars="150" w:firstLine="315"/>
      </w:pPr>
      <w:r>
        <w:t>Research Center for Humanities and Social Computing, Nanjing Agricultural University</w:t>
      </w:r>
    </w:p>
    <w:p w14:paraId="31DB8B06" w14:textId="77777777" w:rsidR="000D55E8" w:rsidRDefault="000D55E8" w:rsidP="000D55E8">
      <w:pPr>
        <w:spacing w:after="210"/>
        <w:ind w:firstLineChars="150" w:firstLine="315"/>
      </w:pPr>
      <w:r>
        <w:t>Research Center for Language Big Data and Computational Humanities, Nanjing Normal University</w:t>
      </w:r>
    </w:p>
    <w:p w14:paraId="4E712851" w14:textId="77777777" w:rsidR="000D55E8" w:rsidRDefault="000D55E8" w:rsidP="000D55E8">
      <w:pPr>
        <w:spacing w:after="210"/>
        <w:ind w:firstLineChars="150" w:firstLine="315"/>
      </w:pPr>
      <w:r>
        <w:t>Taiwanese Association for Digital Humanities (TADH)</w:t>
      </w:r>
    </w:p>
    <w:p w14:paraId="66247BAC" w14:textId="77777777" w:rsidR="000D55E8" w:rsidRDefault="000D55E8" w:rsidP="000D55E8">
      <w:pPr>
        <w:spacing w:after="210"/>
        <w:ind w:firstLineChars="150" w:firstLine="315"/>
      </w:pPr>
      <w:r w:rsidRPr="000D55E8">
        <w:t>Tsinghua University-CNKI Joint Center for Digital Humanities</w:t>
      </w:r>
    </w:p>
    <w:p w14:paraId="20A963EE" w14:textId="1ECF9348" w:rsidR="000D55E8" w:rsidRDefault="000D55E8" w:rsidP="000D55E8">
      <w:pPr>
        <w:spacing w:after="210"/>
        <w:ind w:firstLineChars="150" w:firstLine="315"/>
      </w:pPr>
      <w:r w:rsidRPr="000D55E8">
        <w:t>United Research Institute for Digital Humanities,</w:t>
      </w:r>
      <w:r>
        <w:rPr>
          <w:rFonts w:hint="eastAsia"/>
          <w:lang w:eastAsia="ko-KR"/>
        </w:rPr>
        <w:t xml:space="preserve"> </w:t>
      </w:r>
      <w:r w:rsidRPr="000D55E8">
        <w:t>SYSU</w:t>
      </w:r>
    </w:p>
    <w:p w14:paraId="19EB65C8" w14:textId="77777777" w:rsidR="000D55E8" w:rsidRDefault="000D55E8" w:rsidP="000D55E8">
      <w:pPr>
        <w:spacing w:after="210"/>
        <w:ind w:firstLineChars="150" w:firstLine="315"/>
      </w:pPr>
      <w:r>
        <w:rPr>
          <w:rFonts w:eastAsia="Georgia" w:hAnsi="Georgia" w:cs="Georgia"/>
        </w:rPr>
        <w:t>Zhonghua Book Company • Guji Gulian (Beijing) Digital Media Technology Co., Ltd.</w:t>
      </w:r>
    </w:p>
    <w:p w14:paraId="046481AE" w14:textId="77777777" w:rsidR="000D55E8" w:rsidRDefault="000D55E8" w:rsidP="001D3F54">
      <w:pPr>
        <w:spacing w:after="210"/>
        <w:ind w:firstLineChars="50" w:firstLine="105"/>
      </w:pPr>
    </w:p>
    <w:p w14:paraId="2EA23769" w14:textId="6FBFC8A2" w:rsidR="00CE2DA0" w:rsidRDefault="00000000">
      <w:pPr>
        <w:spacing w:after="210"/>
      </w:pPr>
      <w:r>
        <w:t xml:space="preserve">* </w:t>
      </w:r>
      <w:r>
        <w:rPr>
          <w:b/>
        </w:rPr>
        <w:t>Sponsors</w:t>
      </w:r>
      <w:r w:rsidR="00251F4E">
        <w:rPr>
          <w:rFonts w:hint="eastAsia"/>
          <w:b/>
          <w:lang w:eastAsia="ko-KR"/>
        </w:rPr>
        <w:t xml:space="preserve"> by</w:t>
      </w:r>
      <w:r>
        <w:t>:</w:t>
      </w:r>
    </w:p>
    <w:p w14:paraId="2034769C" w14:textId="77777777" w:rsidR="00CE2DA0" w:rsidRDefault="00000000" w:rsidP="000D55E8">
      <w:pPr>
        <w:spacing w:after="210"/>
        <w:ind w:firstLineChars="150" w:firstLine="315"/>
      </w:pPr>
      <w:r>
        <w:t>National Research Foundation of Korea</w:t>
      </w:r>
    </w:p>
    <w:p w14:paraId="08A568C6" w14:textId="77777777" w:rsidR="00251F4E" w:rsidRDefault="00251F4E">
      <w:pPr>
        <w:spacing w:before="240" w:line="271" w:lineRule="auto"/>
        <w:rPr>
          <w:b/>
          <w:sz w:val="42"/>
        </w:rPr>
      </w:pPr>
      <w:bookmarkStart w:id="5" w:name="bm_4_conference_theme"/>
    </w:p>
    <w:p w14:paraId="6556D538" w14:textId="2B80D62E" w:rsidR="00CE2DA0" w:rsidRPr="00251F4E" w:rsidRDefault="00000000">
      <w:pPr>
        <w:spacing w:before="240" w:line="271" w:lineRule="auto"/>
        <w:rPr>
          <w:sz w:val="28"/>
          <w:szCs w:val="28"/>
        </w:rPr>
      </w:pPr>
      <w:r w:rsidRPr="00251F4E">
        <w:rPr>
          <w:b/>
          <w:sz w:val="28"/>
          <w:szCs w:val="28"/>
        </w:rPr>
        <w:t>4. Conference Theme</w:t>
      </w:r>
      <w:bookmarkEnd w:id="5"/>
    </w:p>
    <w:p w14:paraId="4F3EA926" w14:textId="5DF23833" w:rsidR="00CE2DA0" w:rsidRPr="00251F4E" w:rsidRDefault="00251F4E" w:rsidP="00251F4E">
      <w:pPr>
        <w:spacing w:after="210"/>
        <w:ind w:firstLineChars="100" w:firstLine="210"/>
        <w:rPr>
          <w:lang w:eastAsia="ko-KR"/>
        </w:rPr>
      </w:pPr>
      <w:r>
        <w:rPr>
          <w:b/>
          <w:lang w:eastAsia="ko-KR"/>
        </w:rPr>
        <w:t>“</w:t>
      </w:r>
      <w:r w:rsidR="000D55E8" w:rsidRPr="000D55E8">
        <w:rPr>
          <w:b/>
        </w:rPr>
        <w:t>Digital-Intelligence Empowerment: New Paradigms and Trends in Future East Asian Classical Studies</w:t>
      </w:r>
      <w:r>
        <w:rPr>
          <w:b/>
          <w:lang w:eastAsia="ko-KR"/>
        </w:rPr>
        <w:t>”</w:t>
      </w:r>
    </w:p>
    <w:p w14:paraId="0A641298" w14:textId="77777777" w:rsidR="000A376E" w:rsidRDefault="000A376E">
      <w:pPr>
        <w:spacing w:before="240" w:line="271" w:lineRule="auto"/>
        <w:rPr>
          <w:b/>
          <w:sz w:val="42"/>
        </w:rPr>
      </w:pPr>
      <w:bookmarkStart w:id="6" w:name="bm_5_proposed_topics"/>
    </w:p>
    <w:p w14:paraId="31EBEE8C" w14:textId="49DBA55F" w:rsidR="00CE2DA0" w:rsidRPr="000A376E" w:rsidRDefault="00000000">
      <w:pPr>
        <w:spacing w:before="240" w:line="271" w:lineRule="auto"/>
        <w:rPr>
          <w:sz w:val="28"/>
          <w:szCs w:val="28"/>
        </w:rPr>
      </w:pPr>
      <w:r w:rsidRPr="000A376E">
        <w:rPr>
          <w:b/>
          <w:sz w:val="28"/>
          <w:szCs w:val="28"/>
        </w:rPr>
        <w:t>5. Proposed Topics</w:t>
      </w:r>
      <w:bookmarkEnd w:id="6"/>
    </w:p>
    <w:p w14:paraId="2610C000" w14:textId="155E9393" w:rsidR="000D55E8" w:rsidRDefault="000D55E8" w:rsidP="000D55E8">
      <w:pPr>
        <w:pStyle w:val="a3"/>
        <w:numPr>
          <w:ilvl w:val="0"/>
          <w:numId w:val="5"/>
        </w:numPr>
        <w:spacing w:before="240" w:line="271" w:lineRule="auto"/>
        <w:ind w:leftChars="0"/>
      </w:pPr>
      <w:bookmarkStart w:id="7" w:name="bm_6_important_dates"/>
      <w:r>
        <w:t>Corpus and Semantic Resource Development</w:t>
      </w:r>
    </w:p>
    <w:p w14:paraId="6BA298A3" w14:textId="14DA4A3C" w:rsidR="000D55E8" w:rsidRDefault="000D55E8" w:rsidP="000D55E8">
      <w:pPr>
        <w:pStyle w:val="a3"/>
        <w:numPr>
          <w:ilvl w:val="0"/>
          <w:numId w:val="5"/>
        </w:numPr>
        <w:spacing w:before="240" w:line="271" w:lineRule="auto"/>
        <w:ind w:leftChars="0"/>
      </w:pPr>
      <w:r>
        <w:t>LLMs and Generative AI for Ancient Classics</w:t>
      </w:r>
    </w:p>
    <w:p w14:paraId="57C6A0D8" w14:textId="541EEFE6" w:rsidR="000D55E8" w:rsidRDefault="000D55E8" w:rsidP="000D55E8">
      <w:pPr>
        <w:pStyle w:val="a3"/>
        <w:numPr>
          <w:ilvl w:val="0"/>
          <w:numId w:val="5"/>
        </w:numPr>
        <w:spacing w:before="240" w:line="271" w:lineRule="auto"/>
        <w:ind w:leftChars="0"/>
      </w:pPr>
      <w:r>
        <w:t>Semantic Technologies and Knowledge Engineering</w:t>
      </w:r>
    </w:p>
    <w:p w14:paraId="7A157394" w14:textId="4A450007" w:rsidR="000D55E8" w:rsidRDefault="000D55E8" w:rsidP="000D55E8">
      <w:pPr>
        <w:pStyle w:val="a3"/>
        <w:numPr>
          <w:ilvl w:val="0"/>
          <w:numId w:val="5"/>
        </w:numPr>
        <w:spacing w:before="240" w:line="271" w:lineRule="auto"/>
        <w:ind w:leftChars="0"/>
      </w:pPr>
      <w:r>
        <w:lastRenderedPageBreak/>
        <w:t>Cultural Analysis and Computation</w:t>
      </w:r>
    </w:p>
    <w:p w14:paraId="23FFF14C" w14:textId="348E183F" w:rsidR="000D55E8" w:rsidRDefault="000D55E8" w:rsidP="000D55E8">
      <w:pPr>
        <w:pStyle w:val="a3"/>
        <w:numPr>
          <w:ilvl w:val="0"/>
          <w:numId w:val="5"/>
        </w:numPr>
        <w:spacing w:before="240" w:line="271" w:lineRule="auto"/>
        <w:ind w:leftChars="0"/>
      </w:pPr>
      <w:r>
        <w:t>Platform and Resource Development</w:t>
      </w:r>
    </w:p>
    <w:p w14:paraId="2CD8C641" w14:textId="70C444BE" w:rsidR="000D55E8" w:rsidRDefault="000D55E8" w:rsidP="000D55E8">
      <w:pPr>
        <w:pStyle w:val="a3"/>
        <w:numPr>
          <w:ilvl w:val="0"/>
          <w:numId w:val="5"/>
        </w:numPr>
        <w:spacing w:before="240" w:line="271" w:lineRule="auto"/>
        <w:ind w:leftChars="0"/>
      </w:pPr>
      <w:r>
        <w:t>Specialized Domains in Classics</w:t>
      </w:r>
    </w:p>
    <w:p w14:paraId="133A76B2" w14:textId="6D8DB777" w:rsidR="000D55E8" w:rsidRDefault="000D55E8" w:rsidP="000D55E8">
      <w:pPr>
        <w:pStyle w:val="a3"/>
        <w:numPr>
          <w:ilvl w:val="0"/>
          <w:numId w:val="5"/>
        </w:numPr>
        <w:spacing w:before="240" w:line="271" w:lineRule="auto"/>
        <w:ind w:leftChars="0"/>
      </w:pPr>
      <w:r>
        <w:t>Digitization and Revitalization of Cultural Heritage</w:t>
      </w:r>
    </w:p>
    <w:p w14:paraId="44E83E4A" w14:textId="7721FA56" w:rsidR="000D55E8" w:rsidRDefault="000D55E8" w:rsidP="000D55E8">
      <w:pPr>
        <w:pStyle w:val="a3"/>
        <w:numPr>
          <w:ilvl w:val="0"/>
          <w:numId w:val="5"/>
        </w:numPr>
        <w:spacing w:before="240" w:line="271" w:lineRule="auto"/>
        <w:ind w:leftChars="0"/>
      </w:pPr>
      <w:r>
        <w:t>Smart Libraries and Integrated Publishing</w:t>
      </w:r>
    </w:p>
    <w:p w14:paraId="1CAA7C7E" w14:textId="1C0E9976" w:rsidR="000D55E8" w:rsidRDefault="000D55E8" w:rsidP="000D55E8">
      <w:pPr>
        <w:pStyle w:val="a3"/>
        <w:numPr>
          <w:ilvl w:val="0"/>
          <w:numId w:val="5"/>
        </w:numPr>
        <w:spacing w:before="240" w:line="271" w:lineRule="auto"/>
        <w:ind w:leftChars="0"/>
      </w:pPr>
      <w:r>
        <w:t>Curriculum and Discipline Development</w:t>
      </w:r>
    </w:p>
    <w:p w14:paraId="5376BEEB" w14:textId="145F034F" w:rsidR="000D55E8" w:rsidRDefault="000D55E8" w:rsidP="000D55E8">
      <w:pPr>
        <w:pStyle w:val="a3"/>
        <w:numPr>
          <w:ilvl w:val="0"/>
          <w:numId w:val="5"/>
        </w:numPr>
        <w:spacing w:before="240" w:line="271" w:lineRule="auto"/>
        <w:ind w:leftChars="0"/>
      </w:pPr>
      <w:r>
        <w:t>Spatial Humanities and Digital Mapping</w:t>
      </w:r>
    </w:p>
    <w:p w14:paraId="0D8732B6" w14:textId="63000F7C" w:rsidR="000D55E8" w:rsidRDefault="000D55E8" w:rsidP="000D55E8">
      <w:pPr>
        <w:pStyle w:val="a3"/>
        <w:numPr>
          <w:ilvl w:val="0"/>
          <w:numId w:val="5"/>
        </w:numPr>
        <w:spacing w:before="240" w:line="271" w:lineRule="auto"/>
        <w:ind w:leftChars="0"/>
      </w:pPr>
      <w:r>
        <w:t>Multimodal Data Fusion and Immersive Experiences</w:t>
      </w:r>
    </w:p>
    <w:p w14:paraId="16B134D4" w14:textId="32041E02" w:rsidR="000D55E8" w:rsidRDefault="000D55E8" w:rsidP="000D55E8">
      <w:pPr>
        <w:pStyle w:val="a3"/>
        <w:numPr>
          <w:ilvl w:val="0"/>
          <w:numId w:val="5"/>
        </w:numPr>
        <w:spacing w:before="240" w:line="271" w:lineRule="auto"/>
        <w:ind w:leftChars="0"/>
      </w:pPr>
      <w:r>
        <w:t>Crowdsourcing, Digital Communication, and Public Humanities</w:t>
      </w:r>
    </w:p>
    <w:p w14:paraId="27447226" w14:textId="1F87A650" w:rsidR="000D55E8" w:rsidRDefault="000D55E8" w:rsidP="000D55E8">
      <w:pPr>
        <w:pStyle w:val="a3"/>
        <w:numPr>
          <w:ilvl w:val="0"/>
          <w:numId w:val="5"/>
        </w:numPr>
        <w:spacing w:before="240" w:line="271" w:lineRule="auto"/>
        <w:ind w:leftChars="0"/>
      </w:pPr>
      <w:r>
        <w:t>Other Related Topics</w:t>
      </w:r>
    </w:p>
    <w:p w14:paraId="3B6AEB48" w14:textId="77777777" w:rsidR="00251F4E" w:rsidRDefault="00251F4E">
      <w:pPr>
        <w:spacing w:before="240" w:line="271" w:lineRule="auto"/>
        <w:rPr>
          <w:b/>
          <w:sz w:val="28"/>
          <w:szCs w:val="14"/>
        </w:rPr>
      </w:pPr>
    </w:p>
    <w:p w14:paraId="6ED05EFC" w14:textId="279287A7" w:rsidR="00CE2DA0" w:rsidRPr="00251F4E" w:rsidRDefault="00000000">
      <w:pPr>
        <w:spacing w:before="240" w:line="271" w:lineRule="auto"/>
        <w:rPr>
          <w:sz w:val="14"/>
          <w:szCs w:val="14"/>
        </w:rPr>
      </w:pPr>
      <w:r w:rsidRPr="00251F4E">
        <w:rPr>
          <w:b/>
          <w:sz w:val="28"/>
          <w:szCs w:val="14"/>
        </w:rPr>
        <w:t>6. Important Dates</w:t>
      </w:r>
      <w:bookmarkEnd w:id="7"/>
    </w:p>
    <w:p w14:paraId="4AD8ED32" w14:textId="77777777" w:rsidR="00CE2DA0" w:rsidRDefault="00000000">
      <w:pPr>
        <w:numPr>
          <w:ilvl w:val="0"/>
          <w:numId w:val="2"/>
        </w:numPr>
      </w:pPr>
      <w:r>
        <w:rPr>
          <w:b/>
        </w:rPr>
        <w:t>Abstract Submission Opens</w:t>
      </w:r>
      <w:r>
        <w:t xml:space="preserve">: February 20, 2026, 23:59 </w:t>
      </w:r>
      <w:hyperlink r:id="rId7">
        <w:r w:rsidR="00CE2DA0">
          <w:rPr>
            <w:color w:val="4472C4"/>
          </w:rPr>
          <w:t>https://forms.cloud.microsoft/r/TADbKPhTcn</w:t>
        </w:r>
      </w:hyperlink>
    </w:p>
    <w:p w14:paraId="7F10768B" w14:textId="77777777" w:rsidR="00CE2DA0" w:rsidRDefault="00000000">
      <w:pPr>
        <w:numPr>
          <w:ilvl w:val="0"/>
          <w:numId w:val="2"/>
        </w:numPr>
      </w:pPr>
      <w:r>
        <w:rPr>
          <w:b/>
        </w:rPr>
        <w:t>Abstract Submission Deadline</w:t>
      </w:r>
      <w:r>
        <w:t>: March 30, 2026, 23:59</w:t>
      </w:r>
    </w:p>
    <w:p w14:paraId="35A0BB77" w14:textId="77777777" w:rsidR="00CE2DA0" w:rsidRDefault="00000000">
      <w:pPr>
        <w:numPr>
          <w:ilvl w:val="0"/>
          <w:numId w:val="2"/>
        </w:numPr>
      </w:pPr>
      <w:r>
        <w:rPr>
          <w:b/>
        </w:rPr>
        <w:t>Notification of Acceptance</w:t>
      </w:r>
      <w:r>
        <w:t>: April 20, 2026 (via first author's email)</w:t>
      </w:r>
    </w:p>
    <w:p w14:paraId="72449F91" w14:textId="77777777" w:rsidR="00CE2DA0" w:rsidRDefault="00000000">
      <w:pPr>
        <w:numPr>
          <w:ilvl w:val="0"/>
          <w:numId w:val="2"/>
        </w:numPr>
      </w:pPr>
      <w:r>
        <w:rPr>
          <w:b/>
        </w:rPr>
        <w:t>Online Registration</w:t>
      </w:r>
      <w:r>
        <w:t xml:space="preserve">: April 20 - April 30, 2026 </w:t>
      </w:r>
      <w:hyperlink r:id="rId8">
        <w:r w:rsidR="00CE2DA0">
          <w:rPr>
            <w:color w:val="4472C4"/>
          </w:rPr>
          <w:t>https://forms.cloud.microsoft/r/07kCABGZxw</w:t>
        </w:r>
      </w:hyperlink>
    </w:p>
    <w:p w14:paraId="4DAA67A0" w14:textId="77777777" w:rsidR="00CE2DA0" w:rsidRDefault="00000000">
      <w:pPr>
        <w:numPr>
          <w:ilvl w:val="0"/>
          <w:numId w:val="2"/>
        </w:numPr>
      </w:pPr>
      <w:r>
        <w:rPr>
          <w:b/>
        </w:rPr>
        <w:t>Invitation Letter Dispatch</w:t>
      </w:r>
      <w:r>
        <w:t>: May 20 - May 30, 2026 (to each participant's email)</w:t>
      </w:r>
    </w:p>
    <w:p w14:paraId="1D5638F9" w14:textId="77777777" w:rsidR="00CE2DA0" w:rsidRDefault="00000000">
      <w:pPr>
        <w:numPr>
          <w:ilvl w:val="0"/>
          <w:numId w:val="2"/>
        </w:numPr>
      </w:pPr>
      <w:r>
        <w:rPr>
          <w:b/>
        </w:rPr>
        <w:t>Full Paper Submission Deadline</w:t>
      </w:r>
      <w:r>
        <w:t>: July 1, 2026</w:t>
      </w:r>
    </w:p>
    <w:p w14:paraId="0FD465C0" w14:textId="77777777" w:rsidR="00CE2DA0" w:rsidRPr="00251F4E" w:rsidRDefault="00000000">
      <w:pPr>
        <w:spacing w:after="210"/>
        <w:rPr>
          <w:i/>
          <w:iCs/>
          <w:color w:val="EE0000"/>
        </w:rPr>
      </w:pPr>
      <w:r w:rsidRPr="00251F4E">
        <w:rPr>
          <w:i/>
          <w:iCs/>
          <w:color w:val="EE0000"/>
        </w:rPr>
        <w:t>* To ensure quality, the number of accepted papers is limited to 80 or fewer, including 20 papers for the Graduate Student Forum.</w:t>
      </w:r>
    </w:p>
    <w:p w14:paraId="6250408D" w14:textId="77777777" w:rsidR="00CE2DA0" w:rsidRPr="00251F4E" w:rsidRDefault="00000000">
      <w:pPr>
        <w:spacing w:after="210"/>
        <w:rPr>
          <w:i/>
          <w:iCs/>
        </w:rPr>
      </w:pPr>
      <w:r w:rsidRPr="00251F4E">
        <w:rPr>
          <w:i/>
          <w:iCs/>
        </w:rPr>
        <w:t xml:space="preserve">* Abstracts should be written in </w:t>
      </w:r>
      <w:r w:rsidRPr="00251F4E">
        <w:rPr>
          <w:i/>
          <w:iCs/>
          <w:color w:val="EE0000"/>
        </w:rPr>
        <w:t xml:space="preserve">English and Korean, or English and Chinese, or English and native language. </w:t>
      </w:r>
      <w:hyperlink r:id="rId9">
        <w:r w:rsidR="00CE2DA0" w:rsidRPr="00251F4E">
          <w:rPr>
            <w:i/>
            <w:iCs/>
            <w:color w:val="4472C4"/>
          </w:rPr>
          <w:t>Online Abstract Submission Link</w:t>
        </w:r>
      </w:hyperlink>
      <w:r w:rsidRPr="00251F4E">
        <w:rPr>
          <w:i/>
          <w:iCs/>
        </w:rPr>
        <w:t xml:space="preserve"> </w:t>
      </w:r>
      <w:hyperlink r:id="rId10">
        <w:r w:rsidR="00CE2DA0" w:rsidRPr="00251F4E">
          <w:rPr>
            <w:i/>
            <w:iCs/>
            <w:color w:val="4472C4"/>
          </w:rPr>
          <w:t>https://forms.cloud.microsoft/r/TADbKPhTcn</w:t>
        </w:r>
      </w:hyperlink>
    </w:p>
    <w:p w14:paraId="3BC95E34" w14:textId="27178B08" w:rsidR="00CE2DA0" w:rsidRPr="00251F4E" w:rsidRDefault="00000000">
      <w:pPr>
        <w:spacing w:after="210"/>
        <w:rPr>
          <w:i/>
          <w:iCs/>
          <w:lang w:eastAsia="ko-KR"/>
        </w:rPr>
      </w:pPr>
      <w:r w:rsidRPr="00251F4E">
        <w:rPr>
          <w:i/>
          <w:iCs/>
        </w:rPr>
        <w:t xml:space="preserve">* </w:t>
      </w:r>
      <w:hyperlink r:id="rId11">
        <w:r w:rsidR="00CE2DA0" w:rsidRPr="00251F4E">
          <w:rPr>
            <w:i/>
            <w:iCs/>
            <w:color w:val="4472C4"/>
          </w:rPr>
          <w:t>Online Registration Link</w:t>
        </w:r>
      </w:hyperlink>
      <w:r w:rsidRPr="00251F4E">
        <w:rPr>
          <w:i/>
          <w:iCs/>
        </w:rPr>
        <w:t xml:space="preserve"> </w:t>
      </w:r>
      <w:hyperlink r:id="rId12" w:history="1">
        <w:r w:rsidR="00251F4E" w:rsidRPr="00F60D40">
          <w:rPr>
            <w:rStyle w:val="a4"/>
            <w:i/>
            <w:iCs/>
          </w:rPr>
          <w:t>https://forms.cloud.microsoft/r/07kCABGZxw</w:t>
        </w:r>
        <w:r w:rsidR="00251F4E" w:rsidRPr="00F60D40">
          <w:rPr>
            <w:rStyle w:val="a4"/>
            <w:rFonts w:hint="eastAsia"/>
            <w:i/>
            <w:iCs/>
            <w:lang w:eastAsia="ko-KR"/>
          </w:rPr>
          <w:t>(will</w:t>
        </w:r>
      </w:hyperlink>
      <w:r w:rsidR="00251F4E">
        <w:rPr>
          <w:rFonts w:hint="eastAsia"/>
          <w:i/>
          <w:iCs/>
          <w:lang w:eastAsia="ko-KR"/>
        </w:rPr>
        <w:t xml:space="preserve"> be open April 20)</w:t>
      </w:r>
    </w:p>
    <w:p w14:paraId="372FC9D5" w14:textId="77777777" w:rsidR="00CE2DA0" w:rsidRDefault="00000000">
      <w:pPr>
        <w:spacing w:after="210"/>
      </w:pPr>
      <w:r>
        <w:t>* Full papers may be written in the presenter's chosen language. For accepted abstracts, please submit full papers according to the paper format by July 1.</w:t>
      </w:r>
    </w:p>
    <w:p w14:paraId="3F5EBB28" w14:textId="77777777" w:rsidR="00CE2DA0" w:rsidRDefault="00000000">
      <w:pPr>
        <w:spacing w:after="210"/>
      </w:pPr>
      <w:r>
        <w:t>* Abstracts will be printed in the conference handbook, and full papers will be provided on a USB drive distributed at registration.</w:t>
      </w:r>
    </w:p>
    <w:p w14:paraId="3D125A04" w14:textId="77777777" w:rsidR="00251F4E" w:rsidRDefault="00251F4E">
      <w:pPr>
        <w:spacing w:after="210"/>
        <w:rPr>
          <w:lang w:eastAsia="ko-KR"/>
        </w:rPr>
      </w:pPr>
    </w:p>
    <w:p w14:paraId="7BB2360B" w14:textId="3016D47F" w:rsidR="00251F4E" w:rsidRPr="00251F4E" w:rsidRDefault="00251F4E" w:rsidP="00251F4E">
      <w:pPr>
        <w:spacing w:before="240" w:line="271" w:lineRule="auto"/>
        <w:rPr>
          <w:b/>
          <w:sz w:val="28"/>
          <w:szCs w:val="14"/>
          <w:lang w:eastAsia="ko-KR"/>
        </w:rPr>
      </w:pPr>
      <w:r>
        <w:rPr>
          <w:rFonts w:hint="eastAsia"/>
          <w:b/>
          <w:sz w:val="28"/>
          <w:szCs w:val="14"/>
          <w:lang w:eastAsia="ko-KR"/>
        </w:rPr>
        <w:lastRenderedPageBreak/>
        <w:t>7</w:t>
      </w:r>
      <w:r w:rsidRPr="00251F4E">
        <w:rPr>
          <w:b/>
          <w:sz w:val="28"/>
          <w:szCs w:val="14"/>
        </w:rPr>
        <w:t xml:space="preserve">. </w:t>
      </w:r>
      <w:r>
        <w:rPr>
          <w:rFonts w:hint="eastAsia"/>
          <w:b/>
          <w:sz w:val="28"/>
          <w:szCs w:val="14"/>
          <w:lang w:eastAsia="ko-KR"/>
        </w:rPr>
        <w:t>A</w:t>
      </w:r>
      <w:r w:rsidRPr="00251F4E">
        <w:rPr>
          <w:b/>
          <w:sz w:val="28"/>
          <w:szCs w:val="14"/>
          <w:lang w:eastAsia="ko-KR"/>
        </w:rPr>
        <w:t>ccommodation</w:t>
      </w:r>
    </w:p>
    <w:p w14:paraId="303ED203" w14:textId="2D619026" w:rsidR="00CE2DA0" w:rsidRPr="00251F4E" w:rsidRDefault="00251F4E">
      <w:pPr>
        <w:spacing w:after="210"/>
        <w:rPr>
          <w:u w:val="single"/>
        </w:rPr>
      </w:pPr>
      <w:r>
        <w:t>*</w:t>
      </w:r>
      <w:r w:rsidRPr="00251F4E">
        <w:rPr>
          <w:u w:val="single"/>
        </w:rPr>
        <w:t xml:space="preserve"> Participants may arrange their own accommodation.</w:t>
      </w:r>
    </w:p>
    <w:p w14:paraId="750B86D1" w14:textId="77777777" w:rsidR="00CE2DA0" w:rsidRDefault="00000000">
      <w:pPr>
        <w:spacing w:after="210"/>
      </w:pPr>
      <w:r>
        <w:t>* The organizing committee will provide information on discounted hotels. Participants wishing to make reservations through the committee should submit reservation information during online registration. A deposit is required for discounted hotels. Please note that a 30% cancellation fee applies after deposit payment. For changes after the online registration deadline, participants should contact the hotel directly.</w:t>
      </w:r>
    </w:p>
    <w:p w14:paraId="563FF5F0" w14:textId="18C1B1F5" w:rsidR="00CE2DA0" w:rsidRDefault="00000000">
      <w:pPr>
        <w:numPr>
          <w:ilvl w:val="0"/>
          <w:numId w:val="3"/>
        </w:numPr>
      </w:pPr>
      <w:r>
        <w:rPr>
          <w:b/>
        </w:rPr>
        <w:t>Hotel</w:t>
      </w:r>
      <w:r>
        <w:t xml:space="preserve">: </w:t>
      </w:r>
      <w:r w:rsidR="00251F4E">
        <w:rPr>
          <w:rFonts w:hint="eastAsia"/>
          <w:lang w:eastAsia="ko-KR"/>
        </w:rPr>
        <w:t>IBIS</w:t>
      </w:r>
      <w:r>
        <w:t xml:space="preserve"> Ambassador Seoul Insadong (same price per night for twin and double rooms; date is check-in date)</w:t>
      </w:r>
      <w:r w:rsidR="00251F4E">
        <w:rPr>
          <w:rFonts w:hint="eastAsia"/>
          <w:lang w:eastAsia="ko-KR"/>
        </w:rPr>
        <w:t xml:space="preserve"> </w:t>
      </w:r>
    </w:p>
    <w:p w14:paraId="429238DC" w14:textId="7FC09E2D" w:rsidR="00251F4E" w:rsidRDefault="00251F4E" w:rsidP="00251F4E">
      <w:pPr>
        <w:pStyle w:val="a3"/>
        <w:spacing w:after="210"/>
        <w:ind w:leftChars="0" w:left="720"/>
      </w:pPr>
      <w:r>
        <w:t xml:space="preserve">Map link for discounted hotel: </w:t>
      </w:r>
      <w:hyperlink r:id="rId13" w:history="1">
        <w:r w:rsidRPr="00251F4E">
          <w:rPr>
            <w:rStyle w:val="a4"/>
          </w:rPr>
          <w:t>https://j.map.baidu.com/e8/6aI</w:t>
        </w:r>
        <w:r w:rsidRPr="00251F4E">
          <w:rPr>
            <w:rStyle w:val="a4"/>
            <w:rFonts w:hint="eastAsia"/>
            <w:lang w:eastAsia="ko-KR"/>
          </w:rPr>
          <w:t xml:space="preserve"> </w:t>
        </w:r>
      </w:hyperlink>
      <w:r>
        <w:rPr>
          <w:rFonts w:hint="eastAsia"/>
          <w:lang w:eastAsia="ko-KR"/>
        </w:rPr>
        <w:t xml:space="preserve">  </w:t>
      </w:r>
      <w:hyperlink r:id="rId14" w:history="1">
        <w:r w:rsidRPr="00F60D40">
          <w:rPr>
            <w:rStyle w:val="a4"/>
          </w:rPr>
          <w:t>https://maps.app.goo.gl/HibLjaMJbh4ewP4F6</w:t>
        </w:r>
      </w:hyperlink>
    </w:p>
    <w:p w14:paraId="6ECAD552" w14:textId="77777777" w:rsidR="00CE2DA0" w:rsidRDefault="00000000">
      <w:pPr>
        <w:numPr>
          <w:ilvl w:val="0"/>
          <w:numId w:val="3"/>
        </w:numPr>
      </w:pPr>
      <w:r>
        <w:t>July 21-23: With breakfast (KRW) 146,300, Without breakfast 132,000</w:t>
      </w:r>
    </w:p>
    <w:p w14:paraId="7666A286" w14:textId="77777777" w:rsidR="00CE2DA0" w:rsidRDefault="00000000">
      <w:pPr>
        <w:numPr>
          <w:ilvl w:val="0"/>
          <w:numId w:val="3"/>
        </w:numPr>
      </w:pPr>
      <w:r>
        <w:t>July 24-26: With breakfast (KRW) 179,300, Without breakfast 165,000</w:t>
      </w:r>
    </w:p>
    <w:p w14:paraId="5A75D2B5" w14:textId="77777777" w:rsidR="00CE2DA0" w:rsidRDefault="00000000">
      <w:pPr>
        <w:numPr>
          <w:ilvl w:val="0"/>
          <w:numId w:val="3"/>
        </w:numPr>
      </w:pPr>
      <w:r>
        <w:t>July 27: With breakfast (KRW) 146,300, Without breakfast 132,000</w:t>
      </w:r>
    </w:p>
    <w:p w14:paraId="444579C5" w14:textId="77777777" w:rsidR="00251F4E" w:rsidRDefault="00251F4E">
      <w:pPr>
        <w:spacing w:before="240" w:line="271" w:lineRule="auto"/>
        <w:rPr>
          <w:b/>
          <w:sz w:val="42"/>
        </w:rPr>
      </w:pPr>
      <w:bookmarkStart w:id="8" w:name="bm_7_conference_fees"/>
    </w:p>
    <w:p w14:paraId="4F9213D0" w14:textId="39649717" w:rsidR="00CE2DA0" w:rsidRPr="00251F4E" w:rsidRDefault="00251F4E">
      <w:pPr>
        <w:spacing w:before="240" w:line="271" w:lineRule="auto"/>
        <w:rPr>
          <w:sz w:val="14"/>
          <w:szCs w:val="14"/>
        </w:rPr>
      </w:pPr>
      <w:r>
        <w:rPr>
          <w:rFonts w:hint="eastAsia"/>
          <w:b/>
          <w:sz w:val="28"/>
          <w:szCs w:val="14"/>
          <w:lang w:eastAsia="ko-KR"/>
        </w:rPr>
        <w:t>8</w:t>
      </w:r>
      <w:r w:rsidRPr="00251F4E">
        <w:rPr>
          <w:b/>
          <w:sz w:val="28"/>
          <w:szCs w:val="14"/>
        </w:rPr>
        <w:t>. Conference Fees</w:t>
      </w:r>
      <w:bookmarkEnd w:id="8"/>
    </w:p>
    <w:p w14:paraId="77AE5BA1" w14:textId="77777777" w:rsidR="00251F4E" w:rsidRDefault="00251F4E" w:rsidP="00251F4E">
      <w:pPr>
        <w:spacing w:after="210"/>
      </w:pPr>
      <w:r>
        <w:t xml:space="preserve">* </w:t>
      </w:r>
      <w:r>
        <w:rPr>
          <w:b/>
        </w:rPr>
        <w:t>Accommodation and transportation costs are at participants' own expense.</w:t>
      </w:r>
    </w:p>
    <w:p w14:paraId="048F7A90" w14:textId="77777777" w:rsidR="00CE2DA0" w:rsidRDefault="00000000">
      <w:pPr>
        <w:spacing w:after="210"/>
      </w:pPr>
      <w:r>
        <w:t>* Workshop and conference registration fees are as follows:</w:t>
      </w:r>
    </w:p>
    <w:tbl>
      <w:tblPr>
        <w:tblStyle w:val="4"/>
        <w:tblW w:w="0" w:type="auto"/>
        <w:tblLook w:val="04A0" w:firstRow="1" w:lastRow="0" w:firstColumn="1" w:lastColumn="0" w:noHBand="0" w:noVBand="1"/>
      </w:tblPr>
      <w:tblGrid>
        <w:gridCol w:w="1762"/>
        <w:gridCol w:w="1757"/>
        <w:gridCol w:w="3300"/>
        <w:gridCol w:w="1861"/>
      </w:tblGrid>
      <w:tr w:rsidR="00CE2DA0" w14:paraId="7383378B" w14:textId="77777777" w:rsidTr="00251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5DA58E" w14:textId="77777777" w:rsidR="00CE2DA0" w:rsidRDefault="00000000">
            <w:pPr>
              <w:jc w:val="center"/>
            </w:pPr>
            <w:r>
              <w:t>Workshop (General)</w:t>
            </w:r>
          </w:p>
        </w:tc>
        <w:tc>
          <w:tcPr>
            <w:tcW w:w="0" w:type="auto"/>
          </w:tcPr>
          <w:p w14:paraId="16A4F7C1" w14:textId="77777777" w:rsidR="00CE2DA0" w:rsidRDefault="00000000">
            <w:pPr>
              <w:jc w:val="center"/>
              <w:cnfStyle w:val="100000000000" w:firstRow="1" w:lastRow="0" w:firstColumn="0" w:lastColumn="0" w:oddVBand="0" w:evenVBand="0" w:oddHBand="0" w:evenHBand="0" w:firstRowFirstColumn="0" w:firstRowLastColumn="0" w:lastRowFirstColumn="0" w:lastRowLastColumn="0"/>
            </w:pPr>
            <w:r>
              <w:t>Workshop (Student)</w:t>
            </w:r>
          </w:p>
        </w:tc>
        <w:tc>
          <w:tcPr>
            <w:tcW w:w="0" w:type="auto"/>
          </w:tcPr>
          <w:p w14:paraId="51C15F4F" w14:textId="77777777" w:rsidR="00CE2DA0" w:rsidRDefault="00000000">
            <w:pPr>
              <w:jc w:val="center"/>
              <w:cnfStyle w:val="100000000000" w:firstRow="1" w:lastRow="0" w:firstColumn="0" w:lastColumn="0" w:oddVBand="0" w:evenVBand="0" w:oddHBand="0" w:evenHBand="0" w:firstRowFirstColumn="0" w:firstRowLastColumn="0" w:lastRowFirstColumn="0" w:lastRowLastColumn="0"/>
            </w:pPr>
            <w:r>
              <w:t>Conference (General Presenter/Attendee)</w:t>
            </w:r>
          </w:p>
        </w:tc>
        <w:tc>
          <w:tcPr>
            <w:tcW w:w="0" w:type="auto"/>
          </w:tcPr>
          <w:p w14:paraId="02723C62" w14:textId="77777777" w:rsidR="00CE2DA0" w:rsidRDefault="00000000">
            <w:pPr>
              <w:jc w:val="center"/>
              <w:cnfStyle w:val="100000000000" w:firstRow="1" w:lastRow="0" w:firstColumn="0" w:lastColumn="0" w:oddVBand="0" w:evenVBand="0" w:oddHBand="0" w:evenHBand="0" w:firstRowFirstColumn="0" w:firstRowLastColumn="0" w:lastRowFirstColumn="0" w:lastRowLastColumn="0"/>
            </w:pPr>
            <w:r>
              <w:t>Conference (Student)</w:t>
            </w:r>
          </w:p>
        </w:tc>
      </w:tr>
      <w:tr w:rsidR="00251F4E" w14:paraId="21A0F133" w14:textId="77777777" w:rsidTr="00136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12971C3A" w14:textId="36785E32" w:rsidR="00251F4E" w:rsidRDefault="00251F4E" w:rsidP="00251F4E">
            <w:pPr>
              <w:jc w:val="center"/>
            </w:pPr>
            <w:r>
              <w:t>3 full days, 9 AM - 5 PM daily</w:t>
            </w:r>
          </w:p>
        </w:tc>
        <w:tc>
          <w:tcPr>
            <w:tcW w:w="0" w:type="auto"/>
            <w:gridSpan w:val="2"/>
          </w:tcPr>
          <w:p w14:paraId="2E4ED728" w14:textId="0545BC8D" w:rsidR="00251F4E" w:rsidRDefault="00251F4E" w:rsidP="00251F4E">
            <w:pPr>
              <w:jc w:val="center"/>
              <w:cnfStyle w:val="000000100000" w:firstRow="0" w:lastRow="0" w:firstColumn="0" w:lastColumn="0" w:oddVBand="0" w:evenVBand="0" w:oddHBand="1" w:evenHBand="0" w:firstRowFirstColumn="0" w:firstRowLastColumn="0" w:lastRowFirstColumn="0" w:lastRowLastColumn="0"/>
            </w:pPr>
            <w:r>
              <w:t>2 full days, 9 AM - 5 PM daily</w:t>
            </w:r>
          </w:p>
        </w:tc>
      </w:tr>
      <w:tr w:rsidR="00CE2DA0" w14:paraId="08138AAC" w14:textId="77777777" w:rsidTr="00251F4E">
        <w:tc>
          <w:tcPr>
            <w:cnfStyle w:val="001000000000" w:firstRow="0" w:lastRow="0" w:firstColumn="1" w:lastColumn="0" w:oddVBand="0" w:evenVBand="0" w:oddHBand="0" w:evenHBand="0" w:firstRowFirstColumn="0" w:firstRowLastColumn="0" w:lastRowFirstColumn="0" w:lastRowLastColumn="0"/>
            <w:tcW w:w="0" w:type="auto"/>
          </w:tcPr>
          <w:p w14:paraId="3651F8EF" w14:textId="77777777" w:rsidR="00CE2DA0" w:rsidRDefault="00000000">
            <w:pPr>
              <w:jc w:val="center"/>
            </w:pPr>
            <w:r>
              <w:t>USD 70</w:t>
            </w:r>
          </w:p>
        </w:tc>
        <w:tc>
          <w:tcPr>
            <w:tcW w:w="0" w:type="auto"/>
          </w:tcPr>
          <w:p w14:paraId="01C7C6A3" w14:textId="77777777" w:rsidR="00CE2DA0" w:rsidRDefault="00000000">
            <w:pPr>
              <w:jc w:val="center"/>
              <w:cnfStyle w:val="000000000000" w:firstRow="0" w:lastRow="0" w:firstColumn="0" w:lastColumn="0" w:oddVBand="0" w:evenVBand="0" w:oddHBand="0" w:evenHBand="0" w:firstRowFirstColumn="0" w:firstRowLastColumn="0" w:lastRowFirstColumn="0" w:lastRowLastColumn="0"/>
            </w:pPr>
            <w:r>
              <w:t>USD 50</w:t>
            </w:r>
          </w:p>
        </w:tc>
        <w:tc>
          <w:tcPr>
            <w:tcW w:w="0" w:type="auto"/>
          </w:tcPr>
          <w:p w14:paraId="681C1E93" w14:textId="77777777" w:rsidR="00CE2DA0" w:rsidRDefault="00000000">
            <w:pPr>
              <w:jc w:val="center"/>
              <w:cnfStyle w:val="000000000000" w:firstRow="0" w:lastRow="0" w:firstColumn="0" w:lastColumn="0" w:oddVBand="0" w:evenVBand="0" w:oddHBand="0" w:evenHBand="0" w:firstRowFirstColumn="0" w:firstRowLastColumn="0" w:lastRowFirstColumn="0" w:lastRowLastColumn="0"/>
            </w:pPr>
            <w:r>
              <w:t>USD 150</w:t>
            </w:r>
          </w:p>
        </w:tc>
        <w:tc>
          <w:tcPr>
            <w:tcW w:w="0" w:type="auto"/>
          </w:tcPr>
          <w:p w14:paraId="19CDD28F" w14:textId="77777777" w:rsidR="00CE2DA0" w:rsidRDefault="00000000">
            <w:pPr>
              <w:jc w:val="center"/>
              <w:cnfStyle w:val="000000000000" w:firstRow="0" w:lastRow="0" w:firstColumn="0" w:lastColumn="0" w:oddVBand="0" w:evenVBand="0" w:oddHBand="0" w:evenHBand="0" w:firstRowFirstColumn="0" w:firstRowLastColumn="0" w:lastRowFirstColumn="0" w:lastRowLastColumn="0"/>
            </w:pPr>
            <w:r>
              <w:t>USD 100</w:t>
            </w:r>
          </w:p>
        </w:tc>
      </w:tr>
    </w:tbl>
    <w:p w14:paraId="70BBB057" w14:textId="77777777" w:rsidR="00CE2DA0" w:rsidRDefault="00CE2DA0"/>
    <w:p w14:paraId="6B68DADC" w14:textId="77777777" w:rsidR="00CE2DA0" w:rsidRDefault="00000000">
      <w:pPr>
        <w:spacing w:after="210"/>
      </w:pPr>
      <w:r>
        <w:t>* Payment methods will be announced during online registration.</w:t>
      </w:r>
    </w:p>
    <w:p w14:paraId="30A1216F" w14:textId="77777777" w:rsidR="00CE2DA0" w:rsidRDefault="00000000">
      <w:pPr>
        <w:spacing w:after="210"/>
      </w:pPr>
      <w:r>
        <w:t>* Workshop registration fee includes refreshments and materials (lunch not included).</w:t>
      </w:r>
    </w:p>
    <w:p w14:paraId="308C6E60" w14:textId="77777777" w:rsidR="00CE2DA0" w:rsidRDefault="00000000">
      <w:pPr>
        <w:spacing w:after="210"/>
      </w:pPr>
      <w:r>
        <w:t>* Conference registration fee includes lunch, refreshments, materials, and banquet.</w:t>
      </w:r>
    </w:p>
    <w:p w14:paraId="1673248E" w14:textId="77777777" w:rsidR="00CE2DA0" w:rsidRDefault="00000000">
      <w:pPr>
        <w:spacing w:after="210"/>
      </w:pPr>
      <w:r>
        <w:t>* Students must submit a scanned copy of their student ID during online registration.</w:t>
      </w:r>
    </w:p>
    <w:p w14:paraId="268E2251" w14:textId="77777777" w:rsidR="00251F4E" w:rsidRDefault="00251F4E">
      <w:pPr>
        <w:spacing w:before="240" w:line="271" w:lineRule="auto"/>
        <w:rPr>
          <w:b/>
          <w:sz w:val="42"/>
        </w:rPr>
      </w:pPr>
      <w:bookmarkStart w:id="9" w:name="bm_8_presentation_language"/>
    </w:p>
    <w:p w14:paraId="5A4E2098" w14:textId="5730A12C" w:rsidR="00CE2DA0" w:rsidRPr="00251F4E" w:rsidRDefault="00251F4E">
      <w:pPr>
        <w:spacing w:before="240" w:line="271" w:lineRule="auto"/>
        <w:rPr>
          <w:sz w:val="28"/>
          <w:szCs w:val="28"/>
        </w:rPr>
      </w:pPr>
      <w:r>
        <w:rPr>
          <w:rFonts w:hint="eastAsia"/>
          <w:b/>
          <w:sz w:val="28"/>
          <w:szCs w:val="28"/>
          <w:lang w:eastAsia="ko-KR"/>
        </w:rPr>
        <w:t>9</w:t>
      </w:r>
      <w:r w:rsidRPr="00251F4E">
        <w:rPr>
          <w:b/>
          <w:sz w:val="28"/>
          <w:szCs w:val="28"/>
        </w:rPr>
        <w:t>. Presentation Language</w:t>
      </w:r>
      <w:bookmarkEnd w:id="9"/>
    </w:p>
    <w:p w14:paraId="02454C3A" w14:textId="77777777" w:rsidR="00CE2DA0" w:rsidRDefault="00000000">
      <w:pPr>
        <w:spacing w:after="210"/>
      </w:pPr>
      <w:r>
        <w:t>* Korean, English, or Chinese is recommended; presentations in native languages are also acceptable.</w:t>
      </w:r>
    </w:p>
    <w:p w14:paraId="3789FADA" w14:textId="77777777" w:rsidR="00CE2DA0" w:rsidRDefault="00000000">
      <w:pPr>
        <w:spacing w:after="210"/>
      </w:pPr>
      <w:r>
        <w:t>* On the day of presentation, presenters must prepare PPT slides in English or Chinese for audience communication.</w:t>
      </w:r>
    </w:p>
    <w:p w14:paraId="7248BA97" w14:textId="77777777" w:rsidR="00251F4E" w:rsidRDefault="00251F4E">
      <w:pPr>
        <w:spacing w:before="240" w:line="271" w:lineRule="auto"/>
        <w:rPr>
          <w:b/>
          <w:sz w:val="42"/>
        </w:rPr>
      </w:pPr>
      <w:bookmarkStart w:id="10" w:name="bm_9_inquiry"/>
    </w:p>
    <w:p w14:paraId="4369565D" w14:textId="74C53382" w:rsidR="00CE2DA0" w:rsidRPr="00251F4E" w:rsidRDefault="00251F4E">
      <w:pPr>
        <w:spacing w:before="240" w:line="271" w:lineRule="auto"/>
        <w:rPr>
          <w:sz w:val="28"/>
          <w:szCs w:val="28"/>
        </w:rPr>
      </w:pPr>
      <w:r>
        <w:rPr>
          <w:rFonts w:hint="eastAsia"/>
          <w:b/>
          <w:sz w:val="28"/>
          <w:szCs w:val="28"/>
          <w:lang w:eastAsia="ko-KR"/>
        </w:rPr>
        <w:t>10</w:t>
      </w:r>
      <w:r w:rsidRPr="00251F4E">
        <w:rPr>
          <w:b/>
          <w:sz w:val="28"/>
          <w:szCs w:val="28"/>
        </w:rPr>
        <w:t>. Inquiry</w:t>
      </w:r>
      <w:bookmarkEnd w:id="10"/>
    </w:p>
    <w:p w14:paraId="3B22FE1C" w14:textId="77777777" w:rsidR="00CE2DA0" w:rsidRDefault="00000000">
      <w:pPr>
        <w:spacing w:after="210"/>
      </w:pPr>
      <w:r>
        <w:t xml:space="preserve">* Dr. Heo Chul </w:t>
      </w:r>
      <w:hyperlink r:id="rId15">
        <w:r w:rsidR="00CE2DA0">
          <w:rPr>
            <w:rFonts w:eastAsia="Georgia" w:hAnsi="Georgia" w:cs="Georgia"/>
            <w:color w:val="4472C4"/>
          </w:rPr>
          <w:t>heochul@gmail.com</w:t>
        </w:r>
      </w:hyperlink>
      <w:r>
        <w:t xml:space="preserve"> // WeChat: chulheo</w:t>
      </w:r>
    </w:p>
    <w:p w14:paraId="729DA178" w14:textId="77777777" w:rsidR="00251F4E" w:rsidRDefault="00251F4E">
      <w:pPr>
        <w:spacing w:before="240" w:line="271" w:lineRule="auto"/>
        <w:rPr>
          <w:b/>
          <w:sz w:val="42"/>
        </w:rPr>
      </w:pPr>
      <w:bookmarkStart w:id="11" w:name="bm_10_call_for_sponsors_and_co_or_decab0"/>
    </w:p>
    <w:p w14:paraId="487B4739" w14:textId="1B741E9A" w:rsidR="00CE2DA0" w:rsidRPr="00251F4E" w:rsidRDefault="00000000">
      <w:pPr>
        <w:spacing w:before="240" w:line="271" w:lineRule="auto"/>
        <w:rPr>
          <w:sz w:val="28"/>
          <w:szCs w:val="28"/>
        </w:rPr>
      </w:pPr>
      <w:r w:rsidRPr="00251F4E">
        <w:rPr>
          <w:b/>
          <w:sz w:val="28"/>
          <w:szCs w:val="28"/>
        </w:rPr>
        <w:t>1</w:t>
      </w:r>
      <w:r w:rsidR="00251F4E">
        <w:rPr>
          <w:rFonts w:hint="eastAsia"/>
          <w:b/>
          <w:sz w:val="28"/>
          <w:szCs w:val="28"/>
          <w:lang w:eastAsia="ko-KR"/>
        </w:rPr>
        <w:t>1</w:t>
      </w:r>
      <w:r w:rsidRPr="00251F4E">
        <w:rPr>
          <w:b/>
          <w:sz w:val="28"/>
          <w:szCs w:val="28"/>
        </w:rPr>
        <w:t>. Call for Sponsors and Co-organizing Institutions</w:t>
      </w:r>
      <w:bookmarkEnd w:id="11"/>
    </w:p>
    <w:p w14:paraId="3C682163" w14:textId="77777777" w:rsidR="00CE2DA0" w:rsidRDefault="00000000">
      <w:pPr>
        <w:spacing w:after="210"/>
      </w:pPr>
      <w:r>
        <w:t>We welcome relevant research institutions, universities, and companies to become co-organizing units or provide sponsorship. During the conference, sponsors will be provided with independent booths to display their products. Additional benefits include displaying company logos on the conference website, conference handbook, and backdrop, distributing company introduction materials in conference material packages, arranging keynote or panel presentations, and exclusive naming rights for panel sessions. For details, please inquire.</w:t>
      </w:r>
    </w:p>
    <w:sectPr w:rsidR="00CE2DA0">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097C" w14:textId="77777777" w:rsidR="000D1FBC" w:rsidRDefault="000D1FBC" w:rsidP="004211CF">
      <w:pPr>
        <w:spacing w:after="0" w:line="240" w:lineRule="auto"/>
      </w:pPr>
      <w:r>
        <w:separator/>
      </w:r>
    </w:p>
  </w:endnote>
  <w:endnote w:type="continuationSeparator" w:id="0">
    <w:p w14:paraId="603964F3" w14:textId="77777777" w:rsidR="000D1FBC" w:rsidRDefault="000D1FBC" w:rsidP="0042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C277" w14:textId="77777777" w:rsidR="000D1FBC" w:rsidRDefault="000D1FBC" w:rsidP="004211CF">
      <w:pPr>
        <w:spacing w:after="0" w:line="240" w:lineRule="auto"/>
      </w:pPr>
      <w:r>
        <w:separator/>
      </w:r>
    </w:p>
  </w:footnote>
  <w:footnote w:type="continuationSeparator" w:id="0">
    <w:p w14:paraId="05EAB1B2" w14:textId="77777777" w:rsidR="000D1FBC" w:rsidRDefault="000D1FBC" w:rsidP="0042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BA"/>
    <w:multiLevelType w:val="hybridMultilevel"/>
    <w:tmpl w:val="DB06F6E8"/>
    <w:lvl w:ilvl="0" w:tplc="CA18B792">
      <w:start w:val="1"/>
      <w:numFmt w:val="bullet"/>
      <w:lvlText w:val=""/>
      <w:lvlJc w:val="left"/>
      <w:pPr>
        <w:tabs>
          <w:tab w:val="num" w:pos="1080"/>
        </w:tabs>
        <w:ind w:left="720" w:hanging="360"/>
      </w:pPr>
      <w:rPr>
        <w:rFonts w:ascii="Symbol" w:hAnsi="Symbol" w:hint="default"/>
      </w:rPr>
    </w:lvl>
    <w:lvl w:ilvl="1" w:tplc="C960E340">
      <w:numFmt w:val="decimal"/>
      <w:lvlText w:val=""/>
      <w:lvlJc w:val="left"/>
    </w:lvl>
    <w:lvl w:ilvl="2" w:tplc="AF2EFF10">
      <w:numFmt w:val="decimal"/>
      <w:lvlText w:val=""/>
      <w:lvlJc w:val="left"/>
    </w:lvl>
    <w:lvl w:ilvl="3" w:tplc="AA5282BE">
      <w:numFmt w:val="decimal"/>
      <w:lvlText w:val=""/>
      <w:lvlJc w:val="left"/>
    </w:lvl>
    <w:lvl w:ilvl="4" w:tplc="263048E0">
      <w:numFmt w:val="decimal"/>
      <w:lvlText w:val=""/>
      <w:lvlJc w:val="left"/>
    </w:lvl>
    <w:lvl w:ilvl="5" w:tplc="36523EF0">
      <w:numFmt w:val="decimal"/>
      <w:lvlText w:val=""/>
      <w:lvlJc w:val="left"/>
    </w:lvl>
    <w:lvl w:ilvl="6" w:tplc="D36C53AA">
      <w:numFmt w:val="decimal"/>
      <w:lvlText w:val=""/>
      <w:lvlJc w:val="left"/>
    </w:lvl>
    <w:lvl w:ilvl="7" w:tplc="0600AE22">
      <w:numFmt w:val="decimal"/>
      <w:lvlText w:val=""/>
      <w:lvlJc w:val="left"/>
    </w:lvl>
    <w:lvl w:ilvl="8" w:tplc="0450DD3E">
      <w:numFmt w:val="decimal"/>
      <w:lvlText w:val=""/>
      <w:lvlJc w:val="left"/>
    </w:lvl>
  </w:abstractNum>
  <w:abstractNum w:abstractNumId="1" w15:restartNumberingAfterBreak="0">
    <w:nsid w:val="1BD91BD9"/>
    <w:multiLevelType w:val="hybridMultilevel"/>
    <w:tmpl w:val="1C32F576"/>
    <w:lvl w:ilvl="0" w:tplc="4C302526">
      <w:start w:val="1"/>
      <w:numFmt w:val="bullet"/>
      <w:lvlText w:val=""/>
      <w:lvlJc w:val="left"/>
      <w:pPr>
        <w:tabs>
          <w:tab w:val="num" w:pos="1080"/>
        </w:tabs>
        <w:ind w:left="720" w:hanging="360"/>
      </w:pPr>
      <w:rPr>
        <w:rFonts w:ascii="Symbol" w:hAnsi="Symbol" w:hint="default"/>
      </w:rPr>
    </w:lvl>
    <w:lvl w:ilvl="1" w:tplc="709CAE2A">
      <w:numFmt w:val="decimal"/>
      <w:lvlText w:val=""/>
      <w:lvlJc w:val="left"/>
    </w:lvl>
    <w:lvl w:ilvl="2" w:tplc="F04A0404">
      <w:numFmt w:val="decimal"/>
      <w:lvlText w:val=""/>
      <w:lvlJc w:val="left"/>
    </w:lvl>
    <w:lvl w:ilvl="3" w:tplc="4CF02CF0">
      <w:numFmt w:val="decimal"/>
      <w:lvlText w:val=""/>
      <w:lvlJc w:val="left"/>
    </w:lvl>
    <w:lvl w:ilvl="4" w:tplc="723AA6D6">
      <w:numFmt w:val="decimal"/>
      <w:lvlText w:val=""/>
      <w:lvlJc w:val="left"/>
    </w:lvl>
    <w:lvl w:ilvl="5" w:tplc="C9204D58">
      <w:numFmt w:val="decimal"/>
      <w:lvlText w:val=""/>
      <w:lvlJc w:val="left"/>
    </w:lvl>
    <w:lvl w:ilvl="6" w:tplc="BC5A4AF4">
      <w:numFmt w:val="decimal"/>
      <w:lvlText w:val=""/>
      <w:lvlJc w:val="left"/>
    </w:lvl>
    <w:lvl w:ilvl="7" w:tplc="ED0EE0EA">
      <w:numFmt w:val="decimal"/>
      <w:lvlText w:val=""/>
      <w:lvlJc w:val="left"/>
    </w:lvl>
    <w:lvl w:ilvl="8" w:tplc="ED9AD3F2">
      <w:numFmt w:val="decimal"/>
      <w:lvlText w:val=""/>
      <w:lvlJc w:val="left"/>
    </w:lvl>
  </w:abstractNum>
  <w:abstractNum w:abstractNumId="2" w15:restartNumberingAfterBreak="0">
    <w:nsid w:val="25AA12E5"/>
    <w:multiLevelType w:val="hybridMultilevel"/>
    <w:tmpl w:val="FA4010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52B65A9E"/>
    <w:multiLevelType w:val="hybridMultilevel"/>
    <w:tmpl w:val="75940F4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580F7152"/>
    <w:multiLevelType w:val="hybridMultilevel"/>
    <w:tmpl w:val="5DD65E76"/>
    <w:lvl w:ilvl="0" w:tplc="5DBEC3DC">
      <w:start w:val="1"/>
      <w:numFmt w:val="bullet"/>
      <w:lvlText w:val=""/>
      <w:lvlJc w:val="left"/>
      <w:pPr>
        <w:tabs>
          <w:tab w:val="num" w:pos="1080"/>
        </w:tabs>
        <w:ind w:left="720" w:hanging="360"/>
      </w:pPr>
      <w:rPr>
        <w:rFonts w:ascii="Symbol" w:hAnsi="Symbol" w:hint="default"/>
      </w:rPr>
    </w:lvl>
    <w:lvl w:ilvl="1" w:tplc="80D26A2E">
      <w:numFmt w:val="decimal"/>
      <w:lvlText w:val=""/>
      <w:lvlJc w:val="left"/>
    </w:lvl>
    <w:lvl w:ilvl="2" w:tplc="C4C8BCA0">
      <w:numFmt w:val="decimal"/>
      <w:lvlText w:val=""/>
      <w:lvlJc w:val="left"/>
    </w:lvl>
    <w:lvl w:ilvl="3" w:tplc="F126C9F0">
      <w:numFmt w:val="decimal"/>
      <w:lvlText w:val=""/>
      <w:lvlJc w:val="left"/>
    </w:lvl>
    <w:lvl w:ilvl="4" w:tplc="983E3256">
      <w:numFmt w:val="decimal"/>
      <w:lvlText w:val=""/>
      <w:lvlJc w:val="left"/>
    </w:lvl>
    <w:lvl w:ilvl="5" w:tplc="9A7C2FF4">
      <w:numFmt w:val="decimal"/>
      <w:lvlText w:val=""/>
      <w:lvlJc w:val="left"/>
    </w:lvl>
    <w:lvl w:ilvl="6" w:tplc="024A0CB4">
      <w:numFmt w:val="decimal"/>
      <w:lvlText w:val=""/>
      <w:lvlJc w:val="left"/>
    </w:lvl>
    <w:lvl w:ilvl="7" w:tplc="B71AD614">
      <w:numFmt w:val="decimal"/>
      <w:lvlText w:val=""/>
      <w:lvlJc w:val="left"/>
    </w:lvl>
    <w:lvl w:ilvl="8" w:tplc="6458F650">
      <w:numFmt w:val="decimal"/>
      <w:lvlText w:val=""/>
      <w:lvlJc w:val="left"/>
    </w:lvl>
  </w:abstractNum>
  <w:num w:numId="1" w16cid:durableId="1279412845">
    <w:abstractNumId w:val="4"/>
  </w:num>
  <w:num w:numId="2" w16cid:durableId="364064307">
    <w:abstractNumId w:val="0"/>
  </w:num>
  <w:num w:numId="3" w16cid:durableId="1660114186">
    <w:abstractNumId w:val="1"/>
  </w:num>
  <w:num w:numId="4" w16cid:durableId="1449549430">
    <w:abstractNumId w:val="2"/>
  </w:num>
  <w:num w:numId="5" w16cid:durableId="170698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A0"/>
    <w:rsid w:val="000A376E"/>
    <w:rsid w:val="000D1FBC"/>
    <w:rsid w:val="000D55E8"/>
    <w:rsid w:val="00124496"/>
    <w:rsid w:val="001B5333"/>
    <w:rsid w:val="001D3F54"/>
    <w:rsid w:val="00251F4E"/>
    <w:rsid w:val="004211CF"/>
    <w:rsid w:val="00464EB1"/>
    <w:rsid w:val="00513B34"/>
    <w:rsid w:val="0089116C"/>
    <w:rsid w:val="009822C6"/>
    <w:rsid w:val="009D2028"/>
    <w:rsid w:val="00B156DC"/>
    <w:rsid w:val="00BA09E8"/>
    <w:rsid w:val="00BB226C"/>
    <w:rsid w:val="00CA44F4"/>
    <w:rsid w:val="00CE2DA0"/>
    <w:rsid w:val="00DB48EB"/>
    <w:rsid w:val="00E41C12"/>
    <w:rsid w:val="00E522C8"/>
    <w:rsid w:val="00E72547"/>
    <w:rsid w:val="00EC7FE4"/>
    <w:rsid w:val="00F004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8A42"/>
  <w15:docId w15:val="{4E784B20-F7AA-4770-A86E-EF87371C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table" w:styleId="4">
    <w:name w:val="Grid Table 4"/>
    <w:basedOn w:val="a1"/>
    <w:uiPriority w:val="49"/>
    <w:rsid w:val="00251F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3">
    <w:name w:val="List Paragraph"/>
    <w:basedOn w:val="a"/>
    <w:uiPriority w:val="34"/>
    <w:qFormat/>
    <w:rsid w:val="00251F4E"/>
    <w:pPr>
      <w:ind w:leftChars="400" w:left="800"/>
    </w:pPr>
  </w:style>
  <w:style w:type="character" w:styleId="a4">
    <w:name w:val="Hyperlink"/>
    <w:basedOn w:val="a0"/>
    <w:uiPriority w:val="99"/>
    <w:unhideWhenUsed/>
    <w:rsid w:val="00251F4E"/>
    <w:rPr>
      <w:color w:val="467886" w:themeColor="hyperlink"/>
      <w:u w:val="single"/>
    </w:rPr>
  </w:style>
  <w:style w:type="character" w:styleId="a5">
    <w:name w:val="Unresolved Mention"/>
    <w:basedOn w:val="a0"/>
    <w:uiPriority w:val="99"/>
    <w:semiHidden/>
    <w:unhideWhenUsed/>
    <w:rsid w:val="00251F4E"/>
    <w:rPr>
      <w:color w:val="605E5C"/>
      <w:shd w:val="clear" w:color="auto" w:fill="E1DFDD"/>
    </w:rPr>
  </w:style>
  <w:style w:type="paragraph" w:styleId="a6">
    <w:name w:val="header"/>
    <w:basedOn w:val="a"/>
    <w:link w:val="Char"/>
    <w:uiPriority w:val="99"/>
    <w:unhideWhenUsed/>
    <w:rsid w:val="004211CF"/>
    <w:pPr>
      <w:tabs>
        <w:tab w:val="center" w:pos="4513"/>
        <w:tab w:val="right" w:pos="9026"/>
      </w:tabs>
      <w:snapToGrid w:val="0"/>
    </w:pPr>
  </w:style>
  <w:style w:type="character" w:customStyle="1" w:styleId="Char">
    <w:name w:val="머리글 Char"/>
    <w:basedOn w:val="a0"/>
    <w:link w:val="a6"/>
    <w:uiPriority w:val="99"/>
    <w:rsid w:val="004211CF"/>
    <w:rPr>
      <w:rFonts w:eastAsiaTheme="minorHAnsi"/>
    </w:rPr>
  </w:style>
  <w:style w:type="paragraph" w:styleId="a7">
    <w:name w:val="footer"/>
    <w:basedOn w:val="a"/>
    <w:link w:val="Char0"/>
    <w:uiPriority w:val="99"/>
    <w:unhideWhenUsed/>
    <w:rsid w:val="004211CF"/>
    <w:pPr>
      <w:tabs>
        <w:tab w:val="center" w:pos="4513"/>
        <w:tab w:val="right" w:pos="9026"/>
      </w:tabs>
      <w:snapToGrid w:val="0"/>
    </w:pPr>
  </w:style>
  <w:style w:type="character" w:customStyle="1" w:styleId="Char0">
    <w:name w:val="바닥글 Char"/>
    <w:basedOn w:val="a0"/>
    <w:link w:val="a7"/>
    <w:uiPriority w:val="99"/>
    <w:rsid w:val="004211C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cloud.microsoft/r/07kCABGZxw" TargetMode="External"/><Relationship Id="rId13" Type="http://schemas.openxmlformats.org/officeDocument/2006/relationships/hyperlink" Target="https://j.map.baidu.com/e8/6aI" TargetMode="External"/><Relationship Id="rId3" Type="http://schemas.openxmlformats.org/officeDocument/2006/relationships/settings" Target="settings.xml"/><Relationship Id="rId7" Type="http://schemas.openxmlformats.org/officeDocument/2006/relationships/hyperlink" Target="https://forms.cloud.microsoft/r/TADbKPhTcn" TargetMode="External"/><Relationship Id="rId12" Type="http://schemas.openxmlformats.org/officeDocument/2006/relationships/hyperlink" Target="https://forms.cloud.microsoft/r/07kCABGZxw(wi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cloud.microsoft/r/07kCABGZxw" TargetMode="External"/><Relationship Id="rId5" Type="http://schemas.openxmlformats.org/officeDocument/2006/relationships/footnotes" Target="footnotes.xml"/><Relationship Id="rId15" Type="http://schemas.openxmlformats.org/officeDocument/2006/relationships/hyperlink" Target="mailto:heochul@gmail.com" TargetMode="External"/><Relationship Id="rId10" Type="http://schemas.openxmlformats.org/officeDocument/2006/relationships/hyperlink" Target="https://forms.cloud.microsoft/r/TADbKPhTcn" TargetMode="External"/><Relationship Id="rId4" Type="http://schemas.openxmlformats.org/officeDocument/2006/relationships/webSettings" Target="webSettings.xml"/><Relationship Id="rId9" Type="http://schemas.openxmlformats.org/officeDocument/2006/relationships/hyperlink" Target="https://forms.cloud.microsoft/r/TADbKPhTcn" TargetMode="External"/><Relationship Id="rId14" Type="http://schemas.openxmlformats.org/officeDocument/2006/relationships/hyperlink" Target="https://maps.app.goo.gl/HibLjaMJbh4ewP4F6"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1411</Words>
  <Characters>8043</Characters>
  <Application>Microsoft Office Word</Application>
  <DocSecurity>0</DocSecurity>
  <Lines>67</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heo chul</cp:lastModifiedBy>
  <cp:revision>10</cp:revision>
  <dcterms:created xsi:type="dcterms:W3CDTF">2026-02-23T06:01:00Z</dcterms:created>
  <dcterms:modified xsi:type="dcterms:W3CDTF">2026-05-06T11:28:00Z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2362c79f-cf80-474b-a789-3fea7d3e9b8a</vt:lpwstr>
  </property>
</Properties>
</file>